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bookmarkStart w:id="0" w:name="_Hlk202198070"/>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DF2863">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1" w:name="_Toc198223600"/>
      <w:r w:rsidRPr="00093CA9">
        <w:lastRenderedPageBreak/>
        <w:t>General Questions</w:t>
      </w:r>
      <w:bookmarkEnd w:id="1"/>
    </w:p>
    <w:tbl>
      <w:tblPr>
        <w:tblStyle w:val="TableGrid"/>
        <w:tblW w:w="10232" w:type="dxa"/>
        <w:tblLook w:val="04A0" w:firstRow="1" w:lastRow="0" w:firstColumn="1" w:lastColumn="0" w:noHBand="0" w:noVBand="1"/>
      </w:tblPr>
      <w:tblGrid>
        <w:gridCol w:w="887"/>
        <w:gridCol w:w="5188"/>
        <w:gridCol w:w="185"/>
        <w:gridCol w:w="110"/>
        <w:gridCol w:w="408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6BD35D" w:rsidR="00093CA9" w:rsidRDefault="00DC3C2A"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A8447F7" w:rsidR="00093CA9" w:rsidRDefault="00DC3C2A" w:rsidP="00093CA9">
            <w:r>
              <w:t>USA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FA3ECE1" w:rsidR="00093CA9" w:rsidRDefault="007D5895" w:rsidP="00093CA9">
            <w:r w:rsidRPr="007D5895">
              <w:t>Final Rule for Oil and Natural Gas Operations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C00BD67" w:rsidR="00B00B92" w:rsidRDefault="00B00B92" w:rsidP="00093CA9">
            <w:hyperlink r:id="rId19" w:history="1">
              <w:r w:rsidRPr="007C2D12">
                <w:rPr>
                  <w:rStyle w:val="Hyperlink"/>
                </w:rPr>
                <w:t>https://web.archive.org/web/20250701154315/https://www.federalregister.gov/documents/2024/03/08/2024-00366/standards-of-performance-for-new-reconstructed-and-modified-sources-and-emissions-guidelines-for</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9EA8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8CAB8F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E8D4C2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B01D2E" w:rsidR="00093CA9" w:rsidRDefault="00706541"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496EAFF" w14:textId="1DE75841" w:rsidR="0066621E" w:rsidRDefault="0066621E" w:rsidP="0066621E">
            <w:r w:rsidRPr="0066621E">
              <w:t>The policy tool aims to reduce methane emissions from the oil and natural gas sector by establishing enforceable performance standards for both new and existing sources, while enabling the use of advanced methane detection technologies and third-party verification of large emission events.</w:t>
            </w:r>
            <w:r>
              <w:t xml:space="preserve"> </w:t>
            </w:r>
            <w:r w:rsidR="00B00B92">
              <w:t>The policy tool</w:t>
            </w:r>
            <w:r>
              <w:t xml:space="preserve"> is composed of several regulatory components, including:</w:t>
            </w:r>
          </w:p>
          <w:p w14:paraId="1F090484" w14:textId="1967DFCD" w:rsidR="0066621E" w:rsidRDefault="0066621E" w:rsidP="0066621E">
            <w:pPr>
              <w:pStyle w:val="ListParagraph"/>
              <w:numPr>
                <w:ilvl w:val="0"/>
                <w:numId w:val="49"/>
              </w:numPr>
            </w:pPr>
            <w:r>
              <w:t>New Source Performance Standards (NSPS OOOOb): Requires new, modified, or reconstructed sources (post-December 6, 2022) to implement leak detection and repair (LDAR), eliminate routine flaring, and adopt zero-emission standards for pneumatic equipment.</w:t>
            </w:r>
          </w:p>
          <w:p w14:paraId="49F7C359" w14:textId="1CACED13" w:rsidR="0066621E" w:rsidRDefault="0066621E" w:rsidP="0066621E">
            <w:pPr>
              <w:pStyle w:val="ListParagraph"/>
              <w:numPr>
                <w:ilvl w:val="0"/>
                <w:numId w:val="49"/>
              </w:numPr>
            </w:pPr>
            <w:r>
              <w:t>Emission Guidelines for Existing Sources (EG OOOOc): Mandates that states (and optionally Tribes) develop and submit plans to regulate existing sources</w:t>
            </w:r>
            <w:r w:rsidR="00B00B92">
              <w:t xml:space="preserve"> of methane</w:t>
            </w:r>
            <w:r>
              <w:t>, ensuring standards are at least as stringent as the federal model rule.</w:t>
            </w:r>
          </w:p>
          <w:p w14:paraId="539D447D" w14:textId="6FC7E969" w:rsidR="0066621E" w:rsidRDefault="0066621E" w:rsidP="0066621E">
            <w:pPr>
              <w:pStyle w:val="ListParagraph"/>
              <w:numPr>
                <w:ilvl w:val="0"/>
                <w:numId w:val="49"/>
              </w:numPr>
            </w:pPr>
            <w:r>
              <w:t>Super Emitter Program: Establishes a third-party notification system for large methane releases (&gt;100 kg/hr), with EPA oversight, verification, and public disclosure.</w:t>
            </w:r>
          </w:p>
          <w:p w14:paraId="18257824" w14:textId="63525D73" w:rsidR="00093CA9" w:rsidRDefault="0066621E" w:rsidP="0066621E">
            <w:pPr>
              <w:pStyle w:val="ListParagraph"/>
              <w:numPr>
                <w:ilvl w:val="0"/>
                <w:numId w:val="49"/>
              </w:numPr>
            </w:pPr>
            <w:r>
              <w:t>Advanced Methane Detection Technology Pathway: Provides a formal process for approving satellite, aerial, and continuous monitoring systems as alternatives to traditional ground-based inspections.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9F0BA8B" w:rsidR="00093CA9" w:rsidRDefault="0066621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2A1E0542" w14:textId="2BA93F52" w:rsidR="00093CA9" w:rsidRDefault="00CB0BE3" w:rsidP="00093CA9">
            <w:r>
              <w:t>I</w:t>
            </w:r>
            <w:r w:rsidRPr="00CB0BE3">
              <w:t>n March 2025, Trump administration</w:t>
            </w:r>
            <w:r w:rsidR="00B00B92">
              <w:t xml:space="preserve">’s EPA </w:t>
            </w:r>
            <w:r w:rsidRPr="00CB0BE3">
              <w:t xml:space="preserve">announced a formal reconsideration of </w:t>
            </w:r>
            <w:r w:rsidR="00B00B92">
              <w:t xml:space="preserve">portions of the policy tool </w:t>
            </w:r>
            <w:r>
              <w:t>(</w:t>
            </w:r>
            <w:r w:rsidRPr="00CB0BE3">
              <w:t>Subparts OOOOb and OOOOc</w:t>
            </w:r>
            <w:r>
              <w:t>)</w:t>
            </w:r>
            <w:r w:rsidRPr="00CB0BE3">
              <w:t xml:space="preserve">. Administrator Lee Zeldin cited concerns that the Biden-era methane regulations were overly burdensome to domestic energy producers and </w:t>
            </w:r>
            <w:r w:rsidR="00B00B92">
              <w:t>misaligned</w:t>
            </w:r>
            <w:r w:rsidRPr="00CB0BE3">
              <w:t xml:space="preserve"> with recent Supreme Court precedent on agency authority. While this reconsideration signals potential future changes, the rule remains legally binding and enforceable unless and until it is formally amended or repealed through the regulatory process.</w:t>
            </w:r>
          </w:p>
          <w:p w14:paraId="312E9D7B" w14:textId="728EFABD" w:rsidR="00CB0BE3" w:rsidRDefault="00CB0BE3" w:rsidP="00093CA9">
            <w:hyperlink r:id="rId20" w:history="1">
              <w:r w:rsidRPr="00CB0BE3">
                <w:rPr>
                  <w:rStyle w:val="Hyperlink"/>
                </w:rPr>
                <w:t>EPA News Release – March 12, 2025</w:t>
              </w:r>
            </w:hyperlink>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72148E3" w:rsidR="00093CA9" w:rsidRPr="00173D7C" w:rsidRDefault="00B00B92"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9FE821E" w:rsidR="00093CA9" w:rsidRPr="00173D7C" w:rsidRDefault="00B00B92"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200AF0C" w:rsidR="00093CA9" w:rsidRDefault="0066621E" w:rsidP="00093CA9">
            <w:r w:rsidRPr="0066621E">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4CAD954" w:rsidR="00093CA9" w:rsidRPr="006B7B0D" w:rsidRDefault="0066621E" w:rsidP="00093CA9">
            <w:r w:rsidRPr="0066621E">
              <w:t>U.S. Environmental Protection Agency (EPA)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50032D8" w:rsidR="00093CA9" w:rsidRPr="006B7B0D" w:rsidRDefault="0066621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70FA688"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1E74758B"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8D15971" w:rsidR="00093CA9" w:rsidRDefault="001C7D48" w:rsidP="00093CA9">
            <w:r>
              <w:t xml:space="preserve">Under </w:t>
            </w:r>
            <w:r w:rsidRPr="006254CA">
              <w:t>Section 60113 of the Inflation Reduction Act (IRA)</w:t>
            </w:r>
            <w:r>
              <w:t xml:space="preserve">, the </w:t>
            </w:r>
            <w:r w:rsidRPr="00EC08B4">
              <w:t xml:space="preserve">Environmental Protection Agency (EPA) is responsible for </w:t>
            </w:r>
            <w:r w:rsidR="00993DA0">
              <w:t xml:space="preserve">implementing regulations that give effect to the </w:t>
            </w:r>
            <w:r w:rsidR="00AA31D6" w:rsidRPr="00AA31D6">
              <w:t>Methane Emissions Reduction Program</w:t>
            </w:r>
            <w:r w:rsidR="00AA31D6">
              <w:t xml:space="preserve"> (MERP)</w:t>
            </w:r>
            <w:r>
              <w:t xml:space="preserve">, including enforcing the </w:t>
            </w:r>
            <w:r w:rsidR="00AA31D6">
              <w:t xml:space="preserve">now overturned </w:t>
            </w:r>
            <w:r>
              <w:t xml:space="preserve">Waste Emissions Charge (WEC), </w:t>
            </w:r>
            <w:r w:rsidR="00D97E10">
              <w:t xml:space="preserve">and </w:t>
            </w:r>
            <w:r>
              <w:t>overseeing methane reporting, rulemaking</w:t>
            </w:r>
            <w:r w:rsidR="00D97E10">
              <w:t>,</w:t>
            </w:r>
            <w:r>
              <w:t xml:space="preserve"> and compliance.</w:t>
            </w:r>
            <w:r w:rsidR="00AA31D6">
              <w:t xml:space="preserve"> </w:t>
            </w:r>
            <w:r w:rsidR="00D97E10">
              <w:t xml:space="preserve"> </w:t>
            </w:r>
            <w:r w:rsidR="00AA31D6" w:rsidRPr="00AA31D6">
              <w:t>A cornerstone of this regulatory framework is the Final Rule for Oil and Natural Gas Operations, which establishes comprehensive methane emissions standards for both new and existing sources across the sector.</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967E55D" w:rsidR="00093CA9" w:rsidRDefault="00AA31D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3BF626C" w14:textId="34CA4B03" w:rsidR="00AF54B5" w:rsidRPr="00AF54B5" w:rsidRDefault="00AF54B5" w:rsidP="00AF54B5">
            <w:pPr>
              <w:keepNext/>
              <w:rPr>
                <w:color w:val="000000" w:themeColor="text1"/>
              </w:rPr>
            </w:pPr>
            <w:r w:rsidRPr="00D97E10">
              <w:rPr>
                <w:color w:val="000000" w:themeColor="text1"/>
                <w:u w:val="single"/>
              </w:rPr>
              <w:t>Periodic Reporting Requirements</w:t>
            </w:r>
            <w:r w:rsidRPr="00AF54B5">
              <w:rPr>
                <w:color w:val="000000" w:themeColor="text1"/>
              </w:rPr>
              <w:t xml:space="preserve">: </w:t>
            </w:r>
            <w:r w:rsidR="00D97E10">
              <w:rPr>
                <w:color w:val="000000" w:themeColor="text1"/>
              </w:rPr>
              <w:t xml:space="preserve"> The Rule requires o</w:t>
            </w:r>
            <w:r w:rsidRPr="00AF54B5">
              <w:rPr>
                <w:color w:val="000000" w:themeColor="text1"/>
              </w:rPr>
              <w:t>perators conduct and document leak detection and repair (LDAR), emissions monitoring, and compliance with control technologies. These records are subject to EPA review.</w:t>
            </w:r>
          </w:p>
          <w:p w14:paraId="102FC77E" w14:textId="4FAC8FF9" w:rsidR="00AF54B5" w:rsidRPr="00AF54B5" w:rsidRDefault="00AF54B5" w:rsidP="00AF54B5">
            <w:pPr>
              <w:keepNext/>
              <w:rPr>
                <w:color w:val="000000" w:themeColor="text1"/>
              </w:rPr>
            </w:pPr>
            <w:r w:rsidRPr="00D97E10">
              <w:rPr>
                <w:color w:val="000000" w:themeColor="text1"/>
                <w:u w:val="single"/>
              </w:rPr>
              <w:t>Super Emitter Program</w:t>
            </w:r>
            <w:r w:rsidRPr="00AF54B5">
              <w:rPr>
                <w:color w:val="000000" w:themeColor="text1"/>
              </w:rPr>
              <w:t>:</w:t>
            </w:r>
            <w:r w:rsidR="00D97E10">
              <w:rPr>
                <w:color w:val="000000" w:themeColor="text1"/>
              </w:rPr>
              <w:t xml:space="preserve"> </w:t>
            </w:r>
            <w:r w:rsidRPr="00AF54B5">
              <w:rPr>
                <w:color w:val="000000" w:themeColor="text1"/>
              </w:rPr>
              <w:t xml:space="preserve"> Includes third-party detection, EPA verification, and public notification of large methane releases.</w:t>
            </w:r>
          </w:p>
          <w:p w14:paraId="1404E2CD" w14:textId="2A1C3427" w:rsidR="00AF54B5" w:rsidRPr="00AF54B5" w:rsidRDefault="00AF54B5" w:rsidP="00AF54B5">
            <w:pPr>
              <w:keepNext/>
              <w:rPr>
                <w:color w:val="000000" w:themeColor="text1"/>
              </w:rPr>
            </w:pPr>
            <w:r w:rsidRPr="00D97E10">
              <w:rPr>
                <w:color w:val="000000" w:themeColor="text1"/>
                <w:u w:val="single"/>
              </w:rPr>
              <w:t>Public Dashboards</w:t>
            </w:r>
            <w:r w:rsidRPr="00AF54B5">
              <w:rPr>
                <w:color w:val="000000" w:themeColor="text1"/>
              </w:rPr>
              <w:t>:</w:t>
            </w:r>
            <w:r w:rsidR="00D97E10">
              <w:rPr>
                <w:color w:val="000000" w:themeColor="text1"/>
              </w:rPr>
              <w:t xml:space="preserve"> </w:t>
            </w:r>
            <w:r w:rsidRPr="00AF54B5">
              <w:rPr>
                <w:color w:val="000000" w:themeColor="text1"/>
              </w:rPr>
              <w:t xml:space="preserve"> EPA has committed to making super emitter data publicly available through an online portal.</w:t>
            </w:r>
          </w:p>
          <w:p w14:paraId="2A4D04B2" w14:textId="170976D7" w:rsidR="00093CA9" w:rsidRDefault="00AF54B5" w:rsidP="00AF54B5">
            <w:pPr>
              <w:keepNext/>
              <w:rPr>
                <w:color w:val="000000" w:themeColor="text1"/>
              </w:rPr>
            </w:pPr>
            <w:r w:rsidRPr="00D97E10">
              <w:rPr>
                <w:color w:val="000000" w:themeColor="text1"/>
                <w:u w:val="single"/>
              </w:rPr>
              <w:t>Alternative Test Method (ATM) Portal</w:t>
            </w:r>
            <w:r w:rsidRPr="00AF54B5">
              <w:rPr>
                <w:color w:val="000000" w:themeColor="text1"/>
              </w:rPr>
              <w:t>:</w:t>
            </w:r>
            <w:r w:rsidR="00D97E10">
              <w:rPr>
                <w:color w:val="000000" w:themeColor="text1"/>
              </w:rPr>
              <w:t xml:space="preserve"> </w:t>
            </w:r>
            <w:r w:rsidRPr="00AF54B5">
              <w:rPr>
                <w:color w:val="000000" w:themeColor="text1"/>
              </w:rPr>
              <w:t xml:space="preserve"> For submitting and tracking advanced methane detection technologies.</w:t>
            </w:r>
          </w:p>
          <w:p w14:paraId="53A50159" w14:textId="77777777" w:rsidR="00245329" w:rsidRDefault="00245329" w:rsidP="00245329">
            <w:hyperlink r:id="rId21" w:history="1">
              <w:r w:rsidRPr="00AA31D6">
                <w:rPr>
                  <w:rStyle w:val="Hyperlink"/>
                </w:rPr>
                <w:t>Overview of Oil and Gas Rule for Small Businesses &amp; Industry</w:t>
              </w:r>
            </w:hyperlink>
          </w:p>
          <w:p w14:paraId="05F4594E" w14:textId="55C1A742" w:rsidR="00AF54B5" w:rsidRPr="00245329" w:rsidRDefault="00245329" w:rsidP="00AF54B5">
            <w:pPr>
              <w:keepNext/>
              <w:rPr>
                <w:rStyle w:val="Hyperlink"/>
              </w:rPr>
            </w:pPr>
            <w:r>
              <w:fldChar w:fldCharType="begin"/>
            </w:r>
            <w:r>
              <w:instrText>HYPERLINK "https://web.archive.org/web/20250630200925/https:/www.epa.gov/compliance/methane-super-emitter-program"</w:instrText>
            </w:r>
            <w:r>
              <w:fldChar w:fldCharType="separate"/>
            </w:r>
            <w:r w:rsidR="00AF54B5" w:rsidRPr="00245329">
              <w:rPr>
                <w:rStyle w:val="Hyperlink"/>
              </w:rPr>
              <w:t>Methane Super Emitter Program | US EPA</w:t>
            </w:r>
          </w:p>
          <w:p w14:paraId="6E0B54AD" w14:textId="352235A1" w:rsidR="00AF54B5" w:rsidRPr="00245329" w:rsidRDefault="00245329" w:rsidP="00AF54B5">
            <w:pPr>
              <w:keepNext/>
              <w:rPr>
                <w:rStyle w:val="Hyperlink"/>
              </w:rPr>
            </w:pPr>
            <w:r>
              <w:fldChar w:fldCharType="end"/>
            </w:r>
            <w:r>
              <w:fldChar w:fldCharType="begin"/>
            </w:r>
            <w:r>
              <w:instrText>HYPERLINK "https://web.archive.org/web/20250630201058/https:/echo.epa.gov/trends/methane-super-emitter-program/data-explorer"</w:instrText>
            </w:r>
            <w:r>
              <w:fldChar w:fldCharType="separate"/>
            </w:r>
            <w:r w:rsidR="00AF54B5" w:rsidRPr="00245329">
              <w:rPr>
                <w:rStyle w:val="Hyperlink"/>
              </w:rPr>
              <w:t>Methane Super Emitter Data Explorer | ECHO | US EPA</w:t>
            </w:r>
          </w:p>
          <w:p w14:paraId="2C2128DB" w14:textId="412DE1C8" w:rsidR="00AF54B5" w:rsidRPr="008017F9" w:rsidRDefault="00245329" w:rsidP="00AF54B5">
            <w:pPr>
              <w:keepNext/>
              <w:rPr>
                <w:color w:val="000000" w:themeColor="text1"/>
              </w:rPr>
            </w:pPr>
            <w:r>
              <w:fldChar w:fldCharType="end"/>
            </w:r>
            <w:hyperlink r:id="rId22" w:history="1">
              <w:r w:rsidR="00AF54B5" w:rsidRPr="00AF54B5">
                <w:rPr>
                  <w:rStyle w:val="Hyperlink"/>
                </w:rPr>
                <w:t>Oil and Gas Alternative Test Methods | US EPA</w:t>
              </w:r>
            </w:hyperlink>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lastRenderedPageBreak/>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lastRenderedPageBreak/>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624575" w14:paraId="4E30DA32" w14:textId="77777777" w:rsidTr="00C37D48">
        <w:trPr>
          <w:trHeight w:val="24"/>
        </w:trPr>
        <w:tc>
          <w:tcPr>
            <w:tcW w:w="1066" w:type="dxa"/>
            <w:vAlign w:val="center"/>
          </w:tcPr>
          <w:p w14:paraId="6324EA1D" w14:textId="416E511D" w:rsidR="00624575" w:rsidRPr="00C37D48" w:rsidRDefault="00624575" w:rsidP="00624575">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624575" w:rsidRPr="00C37D48" w:rsidRDefault="00624575" w:rsidP="00624575">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107A55E2" w:rsidR="00624575" w:rsidRPr="00C37D48" w:rsidRDefault="00624575" w:rsidP="00624575">
            <w:pPr>
              <w:rPr>
                <w:rFonts w:ascii="Calibri" w:hAnsi="Calibri" w:cs="Calibri"/>
              </w:rPr>
            </w:pPr>
          </w:p>
        </w:tc>
        <w:tc>
          <w:tcPr>
            <w:tcW w:w="1614" w:type="dxa"/>
            <w:vAlign w:val="center"/>
          </w:tcPr>
          <w:p w14:paraId="3B104095" w14:textId="77777777" w:rsidR="00624575" w:rsidRPr="00C37D48" w:rsidRDefault="00624575" w:rsidP="00624575">
            <w:pPr>
              <w:rPr>
                <w:rFonts w:ascii="Calibri" w:hAnsi="Calibri" w:cs="Calibri"/>
              </w:rPr>
            </w:pPr>
          </w:p>
        </w:tc>
        <w:tc>
          <w:tcPr>
            <w:tcW w:w="1664" w:type="dxa"/>
            <w:vAlign w:val="center"/>
          </w:tcPr>
          <w:p w14:paraId="798A6AD1" w14:textId="126B0570" w:rsidR="00624575" w:rsidRPr="00C37D48" w:rsidRDefault="00624575" w:rsidP="00624575">
            <w:pPr>
              <w:rPr>
                <w:rFonts w:ascii="Calibri" w:hAnsi="Calibri" w:cs="Calibri"/>
              </w:rPr>
            </w:pPr>
          </w:p>
        </w:tc>
      </w:tr>
      <w:tr w:rsidR="00624575" w14:paraId="6DA85BFA" w14:textId="77777777" w:rsidTr="00C37D48">
        <w:trPr>
          <w:trHeight w:val="24"/>
        </w:trPr>
        <w:tc>
          <w:tcPr>
            <w:tcW w:w="1066" w:type="dxa"/>
            <w:vAlign w:val="center"/>
          </w:tcPr>
          <w:p w14:paraId="432F9D2F" w14:textId="0286D6FC" w:rsidR="00624575" w:rsidRPr="00C37D48" w:rsidRDefault="00624575" w:rsidP="00624575">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624575" w:rsidRPr="00C37D48" w:rsidRDefault="00624575" w:rsidP="00624575">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120D232" w:rsidR="00624575" w:rsidRPr="00C37D48" w:rsidRDefault="00624575" w:rsidP="00624575">
            <w:pPr>
              <w:rPr>
                <w:rFonts w:ascii="Calibri" w:hAnsi="Calibri" w:cs="Calibri"/>
              </w:rPr>
            </w:pPr>
          </w:p>
        </w:tc>
        <w:tc>
          <w:tcPr>
            <w:tcW w:w="1614" w:type="dxa"/>
            <w:vAlign w:val="center"/>
          </w:tcPr>
          <w:p w14:paraId="610EE987" w14:textId="77777777" w:rsidR="00624575" w:rsidRPr="00C37D48" w:rsidRDefault="00624575" w:rsidP="00624575">
            <w:pPr>
              <w:rPr>
                <w:rFonts w:ascii="Calibri" w:hAnsi="Calibri" w:cs="Calibri"/>
              </w:rPr>
            </w:pPr>
          </w:p>
        </w:tc>
        <w:tc>
          <w:tcPr>
            <w:tcW w:w="1664" w:type="dxa"/>
            <w:vAlign w:val="center"/>
          </w:tcPr>
          <w:p w14:paraId="1421BEFB" w14:textId="2EBC4B5E" w:rsidR="00624575" w:rsidRPr="00C37D48" w:rsidRDefault="00624575" w:rsidP="00624575">
            <w:pPr>
              <w:rPr>
                <w:rFonts w:ascii="Calibri" w:hAnsi="Calibri" w:cs="Calibri"/>
              </w:rPr>
            </w:pPr>
          </w:p>
        </w:tc>
      </w:tr>
      <w:tr w:rsidR="00624575" w14:paraId="0628414B" w14:textId="77777777" w:rsidTr="00C37D48">
        <w:trPr>
          <w:trHeight w:val="24"/>
        </w:trPr>
        <w:tc>
          <w:tcPr>
            <w:tcW w:w="1066" w:type="dxa"/>
            <w:vAlign w:val="center"/>
          </w:tcPr>
          <w:p w14:paraId="6EDD79E2" w14:textId="3CF56171" w:rsidR="00624575" w:rsidRPr="00C37D48" w:rsidRDefault="00624575" w:rsidP="00624575">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624575" w:rsidRPr="00C37D48" w:rsidRDefault="00624575" w:rsidP="00624575">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624575" w:rsidRPr="00C37D48" w:rsidRDefault="00624575" w:rsidP="00624575">
            <w:pPr>
              <w:rPr>
                <w:rFonts w:ascii="Calibri" w:hAnsi="Calibri" w:cs="Calibri"/>
              </w:rPr>
            </w:pPr>
          </w:p>
        </w:tc>
        <w:tc>
          <w:tcPr>
            <w:tcW w:w="1614" w:type="dxa"/>
            <w:vAlign w:val="center"/>
          </w:tcPr>
          <w:p w14:paraId="282612A2" w14:textId="77777777" w:rsidR="00624575" w:rsidRPr="00C37D48" w:rsidRDefault="00624575" w:rsidP="00624575">
            <w:pPr>
              <w:rPr>
                <w:rFonts w:ascii="Calibri" w:hAnsi="Calibri" w:cs="Calibri"/>
              </w:rPr>
            </w:pPr>
          </w:p>
        </w:tc>
        <w:tc>
          <w:tcPr>
            <w:tcW w:w="1664" w:type="dxa"/>
            <w:vAlign w:val="center"/>
          </w:tcPr>
          <w:p w14:paraId="57A593E9" w14:textId="08A4190A" w:rsidR="00624575" w:rsidRPr="00C37D48" w:rsidRDefault="00624575" w:rsidP="00624575">
            <w:pPr>
              <w:rPr>
                <w:rFonts w:ascii="Calibri" w:hAnsi="Calibri" w:cs="Calibri"/>
              </w:rPr>
            </w:pPr>
          </w:p>
        </w:tc>
      </w:tr>
      <w:tr w:rsidR="00624575" w14:paraId="3916744D" w14:textId="77777777" w:rsidTr="00C37D48">
        <w:trPr>
          <w:trHeight w:val="24"/>
        </w:trPr>
        <w:tc>
          <w:tcPr>
            <w:tcW w:w="1066" w:type="dxa"/>
            <w:vAlign w:val="center"/>
          </w:tcPr>
          <w:p w14:paraId="515D8016" w14:textId="20D67001" w:rsidR="00624575" w:rsidRPr="00C37D48" w:rsidRDefault="00624575" w:rsidP="00624575">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624575" w:rsidRPr="00C37D48" w:rsidRDefault="00624575" w:rsidP="00624575">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3AF60E56" w:rsidR="00624575" w:rsidRPr="00C37D48" w:rsidRDefault="00624575" w:rsidP="00624575">
            <w:pPr>
              <w:rPr>
                <w:rFonts w:ascii="Calibri" w:hAnsi="Calibri" w:cs="Calibri"/>
              </w:rPr>
            </w:pPr>
          </w:p>
        </w:tc>
        <w:tc>
          <w:tcPr>
            <w:tcW w:w="1614" w:type="dxa"/>
            <w:vAlign w:val="center"/>
          </w:tcPr>
          <w:p w14:paraId="26F38350" w14:textId="77777777" w:rsidR="00624575" w:rsidRPr="00C37D48" w:rsidRDefault="00624575" w:rsidP="00624575">
            <w:pPr>
              <w:rPr>
                <w:rFonts w:ascii="Calibri" w:hAnsi="Calibri" w:cs="Calibri"/>
              </w:rPr>
            </w:pPr>
          </w:p>
        </w:tc>
        <w:tc>
          <w:tcPr>
            <w:tcW w:w="1664" w:type="dxa"/>
            <w:vAlign w:val="center"/>
          </w:tcPr>
          <w:p w14:paraId="67015493" w14:textId="1A61377A" w:rsidR="00624575" w:rsidRPr="00C37D48" w:rsidRDefault="00624575" w:rsidP="00624575">
            <w:pPr>
              <w:rPr>
                <w:rFonts w:ascii="Calibri" w:hAnsi="Calibri" w:cs="Calibri"/>
              </w:rPr>
            </w:pPr>
          </w:p>
        </w:tc>
      </w:tr>
      <w:tr w:rsidR="00624575" w14:paraId="15C62A59" w14:textId="77777777" w:rsidTr="00C37D48">
        <w:trPr>
          <w:trHeight w:val="24"/>
        </w:trPr>
        <w:tc>
          <w:tcPr>
            <w:tcW w:w="1066" w:type="dxa"/>
            <w:vAlign w:val="center"/>
          </w:tcPr>
          <w:p w14:paraId="2D789334" w14:textId="61A80038" w:rsidR="00624575" w:rsidRPr="00C37D48" w:rsidRDefault="00624575" w:rsidP="00624575">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624575" w:rsidRPr="00C37D48" w:rsidRDefault="00624575" w:rsidP="00624575">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C9493C8" w:rsidR="00624575" w:rsidRPr="00C37D48" w:rsidRDefault="00624575" w:rsidP="00624575">
            <w:pPr>
              <w:rPr>
                <w:rFonts w:ascii="Calibri" w:hAnsi="Calibri" w:cs="Calibri"/>
              </w:rPr>
            </w:pPr>
          </w:p>
        </w:tc>
        <w:tc>
          <w:tcPr>
            <w:tcW w:w="1614" w:type="dxa"/>
            <w:vAlign w:val="center"/>
          </w:tcPr>
          <w:p w14:paraId="0962017D" w14:textId="77777777" w:rsidR="00624575" w:rsidRPr="00C37D48" w:rsidRDefault="00624575" w:rsidP="00624575">
            <w:pPr>
              <w:rPr>
                <w:rFonts w:ascii="Calibri" w:hAnsi="Calibri" w:cs="Calibri"/>
              </w:rPr>
            </w:pPr>
          </w:p>
        </w:tc>
        <w:tc>
          <w:tcPr>
            <w:tcW w:w="1664" w:type="dxa"/>
            <w:vAlign w:val="center"/>
          </w:tcPr>
          <w:p w14:paraId="0FDFBF9A" w14:textId="1E9A088E" w:rsidR="00624575" w:rsidRPr="00C37D48" w:rsidRDefault="00624575" w:rsidP="00624575">
            <w:pPr>
              <w:rPr>
                <w:rFonts w:ascii="Calibri" w:hAnsi="Calibri" w:cs="Calibri"/>
              </w:rPr>
            </w:pPr>
          </w:p>
        </w:tc>
      </w:tr>
      <w:tr w:rsidR="00624575" w14:paraId="6DAC2CA3" w14:textId="77777777" w:rsidTr="00C37D48">
        <w:trPr>
          <w:trHeight w:val="300"/>
        </w:trPr>
        <w:tc>
          <w:tcPr>
            <w:tcW w:w="1066" w:type="dxa"/>
            <w:vAlign w:val="center"/>
          </w:tcPr>
          <w:p w14:paraId="6E536308" w14:textId="5F49D793" w:rsidR="00624575" w:rsidRPr="00C37D48" w:rsidRDefault="00624575" w:rsidP="00624575">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624575" w:rsidRPr="00C37D48" w:rsidRDefault="00624575" w:rsidP="00624575">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624575" w:rsidRPr="00C37D48" w:rsidRDefault="00624575" w:rsidP="00624575">
            <w:pPr>
              <w:rPr>
                <w:rFonts w:ascii="Calibri" w:hAnsi="Calibri" w:cs="Calibri"/>
              </w:rPr>
            </w:pPr>
          </w:p>
        </w:tc>
        <w:tc>
          <w:tcPr>
            <w:tcW w:w="1614" w:type="dxa"/>
            <w:vAlign w:val="center"/>
          </w:tcPr>
          <w:p w14:paraId="3F0D8D80" w14:textId="77777777" w:rsidR="00624575" w:rsidRPr="00C37D48" w:rsidRDefault="00624575" w:rsidP="00624575">
            <w:pPr>
              <w:rPr>
                <w:rFonts w:ascii="Calibri" w:hAnsi="Calibri" w:cs="Calibri"/>
              </w:rPr>
            </w:pPr>
          </w:p>
        </w:tc>
        <w:tc>
          <w:tcPr>
            <w:tcW w:w="1664" w:type="dxa"/>
            <w:vAlign w:val="center"/>
          </w:tcPr>
          <w:p w14:paraId="05FA4816" w14:textId="16470322" w:rsidR="00624575" w:rsidRPr="00C37D48" w:rsidRDefault="00624575" w:rsidP="00624575">
            <w:pPr>
              <w:rPr>
                <w:rFonts w:ascii="Calibri" w:hAnsi="Calibri" w:cs="Calibri"/>
              </w:rPr>
            </w:pPr>
          </w:p>
        </w:tc>
      </w:tr>
      <w:tr w:rsidR="00624575" w14:paraId="357D8335" w14:textId="77777777" w:rsidTr="00C37D48">
        <w:trPr>
          <w:trHeight w:val="24"/>
        </w:trPr>
        <w:tc>
          <w:tcPr>
            <w:tcW w:w="1066" w:type="dxa"/>
            <w:vAlign w:val="center"/>
          </w:tcPr>
          <w:p w14:paraId="01394F59" w14:textId="5072ED21" w:rsidR="00624575" w:rsidRPr="00C37D48" w:rsidRDefault="00624575" w:rsidP="00624575">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624575" w:rsidRPr="00C37D48" w:rsidRDefault="00624575" w:rsidP="00624575">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624575" w:rsidRPr="00C37D48" w:rsidRDefault="00624575" w:rsidP="00624575">
            <w:pPr>
              <w:rPr>
                <w:rFonts w:ascii="Calibri" w:hAnsi="Calibri" w:cs="Calibri"/>
              </w:rPr>
            </w:pPr>
          </w:p>
        </w:tc>
        <w:tc>
          <w:tcPr>
            <w:tcW w:w="1614" w:type="dxa"/>
            <w:vAlign w:val="center"/>
          </w:tcPr>
          <w:p w14:paraId="10625186" w14:textId="77777777" w:rsidR="00624575" w:rsidRPr="00C37D48" w:rsidRDefault="00624575" w:rsidP="00624575">
            <w:pPr>
              <w:rPr>
                <w:rFonts w:ascii="Calibri" w:hAnsi="Calibri" w:cs="Calibri"/>
              </w:rPr>
            </w:pPr>
          </w:p>
        </w:tc>
        <w:tc>
          <w:tcPr>
            <w:tcW w:w="1664" w:type="dxa"/>
            <w:vAlign w:val="center"/>
          </w:tcPr>
          <w:p w14:paraId="26DE33FF" w14:textId="3D4FF722" w:rsidR="00624575" w:rsidRPr="00C37D48" w:rsidRDefault="00624575" w:rsidP="00624575">
            <w:pPr>
              <w:rPr>
                <w:rFonts w:ascii="Calibri" w:hAnsi="Calibri" w:cs="Calibri"/>
              </w:rPr>
            </w:pPr>
          </w:p>
        </w:tc>
      </w:tr>
      <w:tr w:rsidR="00624575" w14:paraId="506F5510" w14:textId="77777777" w:rsidTr="00C37D48">
        <w:trPr>
          <w:trHeight w:val="300"/>
        </w:trPr>
        <w:tc>
          <w:tcPr>
            <w:tcW w:w="1066" w:type="dxa"/>
            <w:vAlign w:val="center"/>
          </w:tcPr>
          <w:p w14:paraId="2B1F67FA" w14:textId="255799B1" w:rsidR="00624575" w:rsidRPr="00C37D48" w:rsidRDefault="00624575" w:rsidP="00624575">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624575" w:rsidRPr="00C37D48" w:rsidRDefault="00624575" w:rsidP="00624575">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FC8ADA4" w:rsidR="00624575" w:rsidRPr="00C37D48" w:rsidRDefault="00624575" w:rsidP="00624575">
            <w:pPr>
              <w:rPr>
                <w:rFonts w:ascii="Calibri" w:hAnsi="Calibri" w:cs="Calibri"/>
              </w:rPr>
            </w:pPr>
          </w:p>
        </w:tc>
        <w:tc>
          <w:tcPr>
            <w:tcW w:w="1614" w:type="dxa"/>
            <w:vAlign w:val="center"/>
          </w:tcPr>
          <w:p w14:paraId="263EB2EF" w14:textId="50E466F2" w:rsidR="00624575" w:rsidRPr="00C37D48" w:rsidRDefault="00624575" w:rsidP="00624575">
            <w:pPr>
              <w:rPr>
                <w:rFonts w:ascii="Calibri" w:hAnsi="Calibri" w:cs="Calibri"/>
              </w:rPr>
            </w:pPr>
          </w:p>
        </w:tc>
        <w:tc>
          <w:tcPr>
            <w:tcW w:w="1664" w:type="dxa"/>
            <w:vAlign w:val="center"/>
          </w:tcPr>
          <w:p w14:paraId="4E633EDC" w14:textId="103F7D71" w:rsidR="00624575" w:rsidRPr="00C37D48" w:rsidRDefault="00624575" w:rsidP="00624575">
            <w:pPr>
              <w:rPr>
                <w:rFonts w:ascii="Calibri" w:hAnsi="Calibri" w:cs="Calibri"/>
              </w:rPr>
            </w:pPr>
          </w:p>
        </w:tc>
      </w:tr>
      <w:tr w:rsidR="00624575" w14:paraId="2B6504BB" w14:textId="77777777" w:rsidTr="00C37D48">
        <w:trPr>
          <w:trHeight w:val="300"/>
        </w:trPr>
        <w:tc>
          <w:tcPr>
            <w:tcW w:w="1066" w:type="dxa"/>
            <w:vAlign w:val="center"/>
          </w:tcPr>
          <w:p w14:paraId="5A1F2A2B" w14:textId="73ABC3FE" w:rsidR="00624575" w:rsidRPr="00C37D48" w:rsidRDefault="00624575" w:rsidP="00624575">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624575" w:rsidRPr="00C37D48" w:rsidRDefault="00624575" w:rsidP="00624575">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10BA41B3" w:rsidR="00624575" w:rsidRPr="00C37D48" w:rsidRDefault="00624575" w:rsidP="00624575">
            <w:pPr>
              <w:rPr>
                <w:rFonts w:ascii="Calibri" w:hAnsi="Calibri" w:cs="Calibri"/>
              </w:rPr>
            </w:pPr>
          </w:p>
        </w:tc>
        <w:tc>
          <w:tcPr>
            <w:tcW w:w="1614" w:type="dxa"/>
            <w:vAlign w:val="center"/>
          </w:tcPr>
          <w:p w14:paraId="4ACC209D" w14:textId="01423030" w:rsidR="00624575" w:rsidRPr="00C37D48" w:rsidRDefault="00624575" w:rsidP="00624575">
            <w:pPr>
              <w:rPr>
                <w:rFonts w:ascii="Calibri" w:hAnsi="Calibri" w:cs="Calibri"/>
              </w:rPr>
            </w:pPr>
          </w:p>
        </w:tc>
        <w:tc>
          <w:tcPr>
            <w:tcW w:w="1664" w:type="dxa"/>
            <w:vAlign w:val="center"/>
          </w:tcPr>
          <w:p w14:paraId="140BFFE7" w14:textId="3FB9C437" w:rsidR="00624575" w:rsidRPr="00C37D48" w:rsidRDefault="00624575" w:rsidP="00624575">
            <w:pPr>
              <w:rPr>
                <w:rFonts w:ascii="Calibri" w:hAnsi="Calibri" w:cs="Calibri"/>
              </w:rPr>
            </w:pPr>
          </w:p>
        </w:tc>
      </w:tr>
      <w:tr w:rsidR="00624575" w14:paraId="336597C8" w14:textId="77777777" w:rsidTr="00C37D48">
        <w:trPr>
          <w:trHeight w:val="300"/>
        </w:trPr>
        <w:tc>
          <w:tcPr>
            <w:tcW w:w="1066" w:type="dxa"/>
            <w:vAlign w:val="center"/>
          </w:tcPr>
          <w:p w14:paraId="5D733C2B" w14:textId="0CA6FF87" w:rsidR="00624575" w:rsidRPr="00C37D48" w:rsidRDefault="00624575" w:rsidP="00624575">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624575" w:rsidRPr="00C37D48" w:rsidRDefault="00624575" w:rsidP="00624575">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624575" w:rsidRPr="00C37D48" w:rsidRDefault="00624575" w:rsidP="00624575">
            <w:pPr>
              <w:rPr>
                <w:rFonts w:ascii="Calibri" w:hAnsi="Calibri" w:cs="Calibri"/>
              </w:rPr>
            </w:pPr>
          </w:p>
        </w:tc>
        <w:tc>
          <w:tcPr>
            <w:tcW w:w="1614" w:type="dxa"/>
            <w:vAlign w:val="center"/>
          </w:tcPr>
          <w:p w14:paraId="082BDE9A" w14:textId="77777777" w:rsidR="00624575" w:rsidRPr="00C37D48" w:rsidRDefault="00624575" w:rsidP="00624575">
            <w:pPr>
              <w:rPr>
                <w:rFonts w:ascii="Calibri" w:hAnsi="Calibri" w:cs="Calibri"/>
              </w:rPr>
            </w:pPr>
          </w:p>
        </w:tc>
        <w:tc>
          <w:tcPr>
            <w:tcW w:w="1664" w:type="dxa"/>
            <w:vAlign w:val="center"/>
          </w:tcPr>
          <w:p w14:paraId="16075C1E" w14:textId="547730B1" w:rsidR="00624575" w:rsidRPr="00C37D48" w:rsidRDefault="00624575" w:rsidP="00624575">
            <w:pPr>
              <w:rPr>
                <w:rFonts w:ascii="Calibri" w:hAnsi="Calibri" w:cs="Calibri"/>
              </w:rPr>
            </w:pPr>
          </w:p>
        </w:tc>
      </w:tr>
      <w:tr w:rsidR="00624575" w14:paraId="3A2B7207" w14:textId="77777777" w:rsidTr="00C37D48">
        <w:trPr>
          <w:trHeight w:val="300"/>
        </w:trPr>
        <w:tc>
          <w:tcPr>
            <w:tcW w:w="1066" w:type="dxa"/>
            <w:vAlign w:val="center"/>
          </w:tcPr>
          <w:p w14:paraId="5B7CA5ED" w14:textId="3D0D889C" w:rsidR="00624575" w:rsidRPr="00C37D48" w:rsidRDefault="00624575" w:rsidP="00624575">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624575" w:rsidRPr="00C37D48" w:rsidRDefault="00624575" w:rsidP="00624575">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624575" w:rsidRPr="00C37D48" w:rsidRDefault="00624575" w:rsidP="00624575">
            <w:pPr>
              <w:rPr>
                <w:rFonts w:ascii="Calibri" w:hAnsi="Calibri" w:cs="Calibri"/>
              </w:rPr>
            </w:pPr>
          </w:p>
        </w:tc>
        <w:tc>
          <w:tcPr>
            <w:tcW w:w="1614" w:type="dxa"/>
            <w:vAlign w:val="center"/>
          </w:tcPr>
          <w:p w14:paraId="2DB9329A" w14:textId="77777777" w:rsidR="00624575" w:rsidRPr="00C37D48" w:rsidRDefault="00624575" w:rsidP="00624575">
            <w:pPr>
              <w:rPr>
                <w:rFonts w:ascii="Calibri" w:hAnsi="Calibri" w:cs="Calibri"/>
              </w:rPr>
            </w:pPr>
          </w:p>
        </w:tc>
        <w:tc>
          <w:tcPr>
            <w:tcW w:w="1664" w:type="dxa"/>
            <w:vAlign w:val="center"/>
          </w:tcPr>
          <w:p w14:paraId="34D7141D" w14:textId="7B93C6C5" w:rsidR="00624575" w:rsidRPr="00C37D48" w:rsidRDefault="00624575" w:rsidP="00624575">
            <w:pPr>
              <w:rPr>
                <w:rFonts w:ascii="Calibri" w:hAnsi="Calibri" w:cs="Calibri"/>
              </w:rPr>
            </w:pPr>
          </w:p>
        </w:tc>
      </w:tr>
      <w:tr w:rsidR="00624575" w14:paraId="476C0EA9" w14:textId="77777777" w:rsidTr="00C37D48">
        <w:trPr>
          <w:trHeight w:val="24"/>
        </w:trPr>
        <w:tc>
          <w:tcPr>
            <w:tcW w:w="1066" w:type="dxa"/>
            <w:vAlign w:val="center"/>
          </w:tcPr>
          <w:p w14:paraId="2FC25A0D" w14:textId="2B7C110A" w:rsidR="00624575" w:rsidRPr="00C37D48" w:rsidRDefault="00624575" w:rsidP="00624575">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624575" w:rsidRPr="00C37D48" w:rsidRDefault="00624575" w:rsidP="00624575">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F3D76EA" w:rsidR="00624575" w:rsidRPr="00C37D48" w:rsidRDefault="00624575" w:rsidP="00624575">
            <w:pPr>
              <w:rPr>
                <w:rFonts w:ascii="Calibri" w:hAnsi="Calibri" w:cs="Calibri"/>
              </w:rPr>
            </w:pPr>
          </w:p>
        </w:tc>
        <w:tc>
          <w:tcPr>
            <w:tcW w:w="1614" w:type="dxa"/>
            <w:vAlign w:val="center"/>
          </w:tcPr>
          <w:p w14:paraId="15FFC7AD" w14:textId="77777777" w:rsidR="00624575" w:rsidRPr="00C37D48" w:rsidRDefault="00624575" w:rsidP="00624575">
            <w:pPr>
              <w:rPr>
                <w:rFonts w:ascii="Calibri" w:hAnsi="Calibri" w:cs="Calibri"/>
              </w:rPr>
            </w:pPr>
          </w:p>
        </w:tc>
        <w:tc>
          <w:tcPr>
            <w:tcW w:w="1664" w:type="dxa"/>
            <w:vAlign w:val="center"/>
          </w:tcPr>
          <w:p w14:paraId="109BE34F" w14:textId="2BED3391" w:rsidR="00624575" w:rsidRPr="00C37D48" w:rsidRDefault="00624575" w:rsidP="00624575">
            <w:pPr>
              <w:rPr>
                <w:rFonts w:ascii="Calibri" w:hAnsi="Calibri" w:cs="Calibri"/>
              </w:rPr>
            </w:pPr>
          </w:p>
        </w:tc>
      </w:tr>
      <w:tr w:rsidR="00624575" w14:paraId="694BE870" w14:textId="77777777" w:rsidTr="00C37D48">
        <w:trPr>
          <w:trHeight w:val="24"/>
        </w:trPr>
        <w:tc>
          <w:tcPr>
            <w:tcW w:w="1066" w:type="dxa"/>
            <w:vAlign w:val="center"/>
          </w:tcPr>
          <w:p w14:paraId="177B55BE" w14:textId="1401F8FA" w:rsidR="00624575" w:rsidRPr="00C37D48" w:rsidRDefault="00624575" w:rsidP="00624575">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624575" w:rsidRPr="00C37D48" w:rsidRDefault="00624575" w:rsidP="00624575">
            <w:pPr>
              <w:rPr>
                <w:rFonts w:ascii="Calibri" w:hAnsi="Calibri" w:cs="Calibri"/>
              </w:rPr>
            </w:pPr>
            <w:r w:rsidRPr="00C37D48">
              <w:rPr>
                <w:rFonts w:ascii="Calibri" w:hAnsi="Calibri" w:cs="Calibri"/>
              </w:rPr>
              <w:t>Other</w:t>
            </w:r>
          </w:p>
        </w:tc>
        <w:tc>
          <w:tcPr>
            <w:tcW w:w="1616" w:type="dxa"/>
            <w:gridSpan w:val="2"/>
            <w:vAlign w:val="center"/>
          </w:tcPr>
          <w:p w14:paraId="01F3CDFB" w14:textId="2407D8E2" w:rsidR="00624575" w:rsidRPr="00C37D48" w:rsidRDefault="00624575" w:rsidP="00624575">
            <w:pPr>
              <w:rPr>
                <w:rFonts w:ascii="Calibri" w:hAnsi="Calibri" w:cs="Calibri"/>
              </w:rPr>
            </w:pPr>
          </w:p>
        </w:tc>
        <w:tc>
          <w:tcPr>
            <w:tcW w:w="1614" w:type="dxa"/>
            <w:vAlign w:val="center"/>
          </w:tcPr>
          <w:p w14:paraId="0131CDDC" w14:textId="77777777" w:rsidR="00624575" w:rsidRPr="00C37D48" w:rsidRDefault="00624575" w:rsidP="00624575">
            <w:pPr>
              <w:rPr>
                <w:rFonts w:ascii="Calibri" w:hAnsi="Calibri" w:cs="Calibri"/>
              </w:rPr>
            </w:pPr>
          </w:p>
        </w:tc>
        <w:tc>
          <w:tcPr>
            <w:tcW w:w="1664" w:type="dxa"/>
            <w:vAlign w:val="center"/>
          </w:tcPr>
          <w:p w14:paraId="6EB322D3" w14:textId="77777777" w:rsidR="00624575" w:rsidRPr="00C37D48" w:rsidRDefault="00624575" w:rsidP="00624575">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5C1822E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24FFD8BA"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062A2520"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19DEF00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18AB0740"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441D965"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1D3DEBE8"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6B8FF2A1"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0C5BF20B"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3E6144AC"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34944890"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37B07A21"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084A1836"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1D8F8964"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696768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54DF188"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4A37DC1A"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5C03A849"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135BE65E"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7A16290"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154F13EB"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5BBDD8A"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4152B1B8"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632EAF54"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624575" w:rsidRPr="004F276F" w14:paraId="3AEAC5BF" w14:textId="77777777" w:rsidTr="00C37D48">
        <w:trPr>
          <w:trHeight w:val="1020"/>
        </w:trPr>
        <w:tc>
          <w:tcPr>
            <w:tcW w:w="1066" w:type="dxa"/>
            <w:vAlign w:val="center"/>
          </w:tcPr>
          <w:p w14:paraId="26B0E119" w14:textId="77777777" w:rsidR="00624575" w:rsidRPr="00C37D48" w:rsidRDefault="00624575" w:rsidP="00624575">
            <w:pPr>
              <w:rPr>
                <w:rFonts w:ascii="Calibri" w:hAnsi="Calibri" w:cs="Calibri"/>
              </w:rPr>
            </w:pPr>
          </w:p>
        </w:tc>
        <w:tc>
          <w:tcPr>
            <w:tcW w:w="9376" w:type="dxa"/>
            <w:gridSpan w:val="5"/>
            <w:shd w:val="clear" w:color="auto" w:fill="auto"/>
            <w:vAlign w:val="center"/>
          </w:tcPr>
          <w:p w14:paraId="6AB8498E" w14:textId="1C78BD35" w:rsidR="00624575" w:rsidRPr="00C37D48" w:rsidRDefault="00624575" w:rsidP="00624575">
            <w:pPr>
              <w:rPr>
                <w:rFonts w:ascii="Calibri" w:hAnsi="Calibri" w:cs="Calibri"/>
              </w:rPr>
            </w:pPr>
          </w:p>
        </w:tc>
      </w:tr>
      <w:tr w:rsidR="00624575" w:rsidRPr="004F276F" w14:paraId="3CDF52E2" w14:textId="77777777" w:rsidTr="00C37D48">
        <w:trPr>
          <w:trHeight w:val="596"/>
        </w:trPr>
        <w:tc>
          <w:tcPr>
            <w:tcW w:w="1066" w:type="dxa"/>
            <w:vAlign w:val="center"/>
          </w:tcPr>
          <w:p w14:paraId="5BB0FF36" w14:textId="459F0AFF" w:rsidR="00624575" w:rsidRPr="00C37D48" w:rsidRDefault="00624575" w:rsidP="00624575">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624575" w:rsidRPr="00C37D48" w:rsidRDefault="00624575" w:rsidP="00624575">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624575" w:rsidRPr="00C37D48" w:rsidRDefault="00624575" w:rsidP="00624575">
            <w:pPr>
              <w:rPr>
                <w:rFonts w:ascii="Calibri" w:hAnsi="Calibri" w:cs="Calibri"/>
              </w:rPr>
            </w:pPr>
          </w:p>
          <w:p w14:paraId="319BB0ED" w14:textId="4C346133" w:rsidR="00624575" w:rsidRPr="00C37D48" w:rsidRDefault="00624575" w:rsidP="00624575">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624575" w:rsidRPr="004F276F" w14:paraId="51E9EEAB" w14:textId="77777777" w:rsidTr="00C37D48">
        <w:trPr>
          <w:trHeight w:val="1020"/>
        </w:trPr>
        <w:tc>
          <w:tcPr>
            <w:tcW w:w="1066" w:type="dxa"/>
            <w:vAlign w:val="center"/>
          </w:tcPr>
          <w:p w14:paraId="5E7B7953" w14:textId="77777777" w:rsidR="00624575" w:rsidRPr="00C37D48" w:rsidRDefault="00624575" w:rsidP="00624575">
            <w:pPr>
              <w:rPr>
                <w:rFonts w:ascii="Calibri" w:hAnsi="Calibri" w:cs="Calibri"/>
              </w:rPr>
            </w:pPr>
          </w:p>
        </w:tc>
        <w:tc>
          <w:tcPr>
            <w:tcW w:w="9376" w:type="dxa"/>
            <w:gridSpan w:val="5"/>
            <w:shd w:val="clear" w:color="auto" w:fill="auto"/>
            <w:vAlign w:val="center"/>
          </w:tcPr>
          <w:p w14:paraId="41EA3B18" w14:textId="77777777" w:rsidR="00624575" w:rsidRPr="00C37D48" w:rsidRDefault="00624575" w:rsidP="00624575">
            <w:pPr>
              <w:rPr>
                <w:rFonts w:ascii="Calibri" w:hAnsi="Calibri" w:cs="Calibri"/>
              </w:rPr>
            </w:pPr>
          </w:p>
        </w:tc>
      </w:tr>
      <w:tr w:rsidR="00624575" w:rsidRPr="004F276F" w14:paraId="05FE2EE2" w14:textId="77777777" w:rsidTr="00C37D48">
        <w:trPr>
          <w:trHeight w:val="800"/>
        </w:trPr>
        <w:tc>
          <w:tcPr>
            <w:tcW w:w="1066" w:type="dxa"/>
            <w:vAlign w:val="center"/>
          </w:tcPr>
          <w:p w14:paraId="167605FE" w14:textId="18C0415A" w:rsidR="00624575" w:rsidRPr="00C37D48" w:rsidRDefault="00624575" w:rsidP="00624575">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48D09C04" w14:textId="77777777" w:rsidR="00624575" w:rsidRPr="00C37D48" w:rsidRDefault="00624575" w:rsidP="00624575">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624575" w:rsidRPr="004F276F" w14:paraId="3CF204AE" w14:textId="77777777" w:rsidTr="00C37D48">
        <w:trPr>
          <w:trHeight w:val="440"/>
        </w:trPr>
        <w:tc>
          <w:tcPr>
            <w:tcW w:w="1066" w:type="dxa"/>
            <w:vAlign w:val="center"/>
          </w:tcPr>
          <w:p w14:paraId="03593706" w14:textId="77777777" w:rsidR="00624575" w:rsidRPr="00C37D48" w:rsidRDefault="00624575" w:rsidP="00624575">
            <w:pPr>
              <w:rPr>
                <w:rFonts w:ascii="Calibri" w:hAnsi="Calibri" w:cs="Calibri"/>
              </w:rPr>
            </w:pPr>
          </w:p>
        </w:tc>
        <w:tc>
          <w:tcPr>
            <w:tcW w:w="4482" w:type="dxa"/>
            <w:shd w:val="clear" w:color="auto" w:fill="DEEAF6" w:themeFill="accent5" w:themeFillTint="33"/>
            <w:vAlign w:val="center"/>
          </w:tcPr>
          <w:p w14:paraId="10A08706" w14:textId="77777777" w:rsidR="00624575" w:rsidRPr="00C37D48" w:rsidRDefault="00624575" w:rsidP="00624575">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624575" w:rsidRPr="00C37D48" w:rsidRDefault="00624575" w:rsidP="00624575">
            <w:pPr>
              <w:rPr>
                <w:rFonts w:ascii="Calibri" w:hAnsi="Calibri" w:cs="Calibri"/>
              </w:rPr>
            </w:pPr>
            <w:r w:rsidRPr="00C37D48">
              <w:rPr>
                <w:rFonts w:ascii="Calibri" w:hAnsi="Calibri" w:cs="Calibri"/>
              </w:rPr>
              <w:t>Describe</w:t>
            </w:r>
          </w:p>
        </w:tc>
      </w:tr>
      <w:tr w:rsidR="00624575" w:rsidRPr="004F276F" w14:paraId="621DC0BE" w14:textId="77777777" w:rsidTr="00C37D48">
        <w:trPr>
          <w:trHeight w:val="620"/>
        </w:trPr>
        <w:tc>
          <w:tcPr>
            <w:tcW w:w="1066" w:type="dxa"/>
            <w:vAlign w:val="center"/>
          </w:tcPr>
          <w:p w14:paraId="2BAA5E0E" w14:textId="36CBF575" w:rsidR="00624575" w:rsidRPr="00C37D48" w:rsidRDefault="00624575" w:rsidP="00624575">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624575" w:rsidRPr="00C37D48" w:rsidRDefault="00624575" w:rsidP="00624575">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56F3CD74" w14:textId="77777777" w:rsidR="00624575" w:rsidRPr="00C37D48" w:rsidRDefault="00624575" w:rsidP="00624575">
            <w:pPr>
              <w:rPr>
                <w:rFonts w:ascii="Calibri" w:hAnsi="Calibri" w:cs="Calibri"/>
              </w:rPr>
            </w:pPr>
          </w:p>
        </w:tc>
      </w:tr>
      <w:tr w:rsidR="00624575" w:rsidRPr="004F276F" w14:paraId="63EA218C" w14:textId="77777777" w:rsidTr="00C37D48">
        <w:trPr>
          <w:trHeight w:val="440"/>
        </w:trPr>
        <w:tc>
          <w:tcPr>
            <w:tcW w:w="1066" w:type="dxa"/>
            <w:vAlign w:val="center"/>
          </w:tcPr>
          <w:p w14:paraId="2A781E8E" w14:textId="5BDAF25E" w:rsidR="00624575" w:rsidRPr="00C37D48" w:rsidRDefault="00624575" w:rsidP="00624575">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624575" w:rsidRPr="00C37D48" w:rsidRDefault="00624575" w:rsidP="00624575">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624575" w:rsidRPr="00C37D48" w:rsidRDefault="00624575" w:rsidP="00624575">
            <w:pPr>
              <w:rPr>
                <w:rFonts w:ascii="Calibri" w:hAnsi="Calibri" w:cs="Calibri"/>
              </w:rPr>
            </w:pPr>
          </w:p>
        </w:tc>
      </w:tr>
      <w:tr w:rsidR="00624575" w:rsidRPr="00EB7FED" w14:paraId="74A94C89" w14:textId="77777777" w:rsidTr="00C37D48">
        <w:trPr>
          <w:trHeight w:val="440"/>
        </w:trPr>
        <w:tc>
          <w:tcPr>
            <w:tcW w:w="1066" w:type="dxa"/>
            <w:vAlign w:val="center"/>
          </w:tcPr>
          <w:p w14:paraId="2815DDB0" w14:textId="45131011" w:rsidR="00624575" w:rsidRPr="00C37D48" w:rsidRDefault="00624575" w:rsidP="00624575">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624575" w:rsidRPr="00C37D48" w:rsidRDefault="00624575" w:rsidP="00624575">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624575" w:rsidRPr="00C37D48" w:rsidRDefault="00624575" w:rsidP="00624575">
            <w:pPr>
              <w:rPr>
                <w:rFonts w:ascii="Calibri" w:hAnsi="Calibri" w:cs="Calibri"/>
                <w:lang w:val="sv-SE"/>
              </w:rPr>
            </w:pPr>
          </w:p>
        </w:tc>
      </w:tr>
      <w:tr w:rsidR="00624575" w:rsidRPr="004F276F" w14:paraId="3C031BAD" w14:textId="77777777" w:rsidTr="00C37D48">
        <w:trPr>
          <w:trHeight w:val="620"/>
        </w:trPr>
        <w:tc>
          <w:tcPr>
            <w:tcW w:w="1066" w:type="dxa"/>
            <w:vAlign w:val="center"/>
          </w:tcPr>
          <w:p w14:paraId="1DEA21E0" w14:textId="750D2617" w:rsidR="00624575" w:rsidRPr="00C37D48" w:rsidRDefault="00624575" w:rsidP="00624575">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14:paraId="3A225CD3" w14:textId="6D6C3D1E" w:rsidR="00624575" w:rsidRPr="00C37D48" w:rsidRDefault="00624575" w:rsidP="00624575">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624575" w:rsidRPr="00C37D48" w:rsidRDefault="00624575" w:rsidP="00624575">
            <w:pPr>
              <w:rPr>
                <w:rFonts w:ascii="Calibri" w:hAnsi="Calibri" w:cs="Calibri"/>
              </w:rPr>
            </w:pPr>
          </w:p>
        </w:tc>
      </w:tr>
      <w:tr w:rsidR="00624575" w:rsidRPr="004F276F" w14:paraId="321CCE24" w14:textId="77777777" w:rsidTr="00C37D48">
        <w:trPr>
          <w:trHeight w:val="440"/>
        </w:trPr>
        <w:tc>
          <w:tcPr>
            <w:tcW w:w="1066" w:type="dxa"/>
            <w:vAlign w:val="center"/>
          </w:tcPr>
          <w:p w14:paraId="5E499DDA" w14:textId="57B33C55" w:rsidR="00624575" w:rsidRPr="00C37D48" w:rsidRDefault="00624575" w:rsidP="00624575">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624575" w:rsidRPr="00C37D48" w:rsidRDefault="00624575" w:rsidP="00624575">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624575" w:rsidRPr="00C37D48" w:rsidRDefault="00624575" w:rsidP="00624575">
            <w:pPr>
              <w:rPr>
                <w:rFonts w:ascii="Calibri" w:hAnsi="Calibri" w:cs="Calibri"/>
              </w:rPr>
            </w:pPr>
          </w:p>
        </w:tc>
      </w:tr>
      <w:tr w:rsidR="00830FAB" w:rsidRPr="004F276F" w14:paraId="48D7659C" w14:textId="77777777" w:rsidTr="00C37D48">
        <w:trPr>
          <w:trHeight w:val="350"/>
        </w:trPr>
        <w:tc>
          <w:tcPr>
            <w:tcW w:w="1066" w:type="dxa"/>
            <w:vAlign w:val="center"/>
          </w:tcPr>
          <w:p w14:paraId="161D069C" w14:textId="68156053" w:rsidR="00830FAB" w:rsidRPr="00C37D48" w:rsidRDefault="00830FAB" w:rsidP="00830FAB">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830FAB" w:rsidRPr="00C37D48" w:rsidRDefault="00830FAB" w:rsidP="00830FAB">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1090C33" w:rsidR="00830FAB" w:rsidRPr="00C37D48" w:rsidRDefault="00830FAB" w:rsidP="00830FAB">
            <w:pPr>
              <w:rPr>
                <w:rFonts w:ascii="Calibri" w:hAnsi="Calibri" w:cs="Calibri"/>
              </w:rPr>
            </w:pPr>
          </w:p>
        </w:tc>
      </w:tr>
      <w:tr w:rsidR="00830FAB" w:rsidRPr="004F276F" w14:paraId="49DD4619" w14:textId="77777777" w:rsidTr="00C37D48">
        <w:trPr>
          <w:trHeight w:val="710"/>
        </w:trPr>
        <w:tc>
          <w:tcPr>
            <w:tcW w:w="1066" w:type="dxa"/>
            <w:vAlign w:val="center"/>
          </w:tcPr>
          <w:p w14:paraId="0A61FFD2" w14:textId="310E132C" w:rsidR="00830FAB" w:rsidRPr="00C37D48" w:rsidRDefault="00830FAB" w:rsidP="00830FAB">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830FAB" w:rsidRPr="00C37D48" w:rsidRDefault="00830FAB" w:rsidP="00830FAB">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830FAB" w:rsidRPr="004F276F" w14:paraId="48C3E1F9" w14:textId="77777777" w:rsidTr="00C37D48">
        <w:trPr>
          <w:trHeight w:val="440"/>
        </w:trPr>
        <w:tc>
          <w:tcPr>
            <w:tcW w:w="1066" w:type="dxa"/>
            <w:vAlign w:val="center"/>
          </w:tcPr>
          <w:p w14:paraId="48D7141C" w14:textId="3A3F0D75" w:rsidR="00830FAB" w:rsidRPr="00C37D48" w:rsidRDefault="00830FAB" w:rsidP="00830FAB">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830FAB" w:rsidRPr="00C37D48" w:rsidRDefault="00830FAB" w:rsidP="00830FAB">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2325BC79" w:rsidR="00830FAB" w:rsidRPr="00C37D48" w:rsidRDefault="00830FAB" w:rsidP="00830FAB">
            <w:pPr>
              <w:rPr>
                <w:rFonts w:ascii="Calibri" w:hAnsi="Calibri" w:cs="Calibri"/>
              </w:rPr>
            </w:pPr>
          </w:p>
        </w:tc>
      </w:tr>
      <w:tr w:rsidR="00830FAB" w:rsidRPr="004F276F" w14:paraId="121E4C9B" w14:textId="77777777" w:rsidTr="00C37D48">
        <w:trPr>
          <w:trHeight w:val="440"/>
        </w:trPr>
        <w:tc>
          <w:tcPr>
            <w:tcW w:w="1066" w:type="dxa"/>
            <w:vAlign w:val="center"/>
          </w:tcPr>
          <w:p w14:paraId="1DC0DA30" w14:textId="5467477C" w:rsidR="00830FAB" w:rsidRPr="00C37D48" w:rsidRDefault="00830FAB" w:rsidP="00830FAB">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830FAB" w:rsidRPr="00C37D48" w:rsidRDefault="00830FAB" w:rsidP="00830FAB">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830FAB" w:rsidRPr="00C37D48" w:rsidRDefault="00830FAB" w:rsidP="00830FAB">
            <w:pPr>
              <w:rPr>
                <w:rFonts w:ascii="Calibri" w:hAnsi="Calibri" w:cs="Calibri"/>
              </w:rPr>
            </w:pPr>
          </w:p>
        </w:tc>
      </w:tr>
      <w:tr w:rsidR="00830FAB" w:rsidRPr="004F276F" w14:paraId="546C6519" w14:textId="77777777" w:rsidTr="00C37D48">
        <w:trPr>
          <w:trHeight w:val="440"/>
        </w:trPr>
        <w:tc>
          <w:tcPr>
            <w:tcW w:w="1066" w:type="dxa"/>
            <w:vAlign w:val="center"/>
          </w:tcPr>
          <w:p w14:paraId="2F6D7E2C" w14:textId="7C177159" w:rsidR="00830FAB" w:rsidRPr="00C37D48" w:rsidRDefault="00830FAB" w:rsidP="00830FAB">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830FAB" w:rsidRPr="00C37D48" w:rsidRDefault="00830FAB" w:rsidP="00830FAB">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830FAB" w:rsidRPr="00C37D48" w:rsidRDefault="00830FAB" w:rsidP="00830FAB">
            <w:pPr>
              <w:rPr>
                <w:rFonts w:ascii="Calibri" w:hAnsi="Calibri" w:cs="Calibri"/>
              </w:rPr>
            </w:pPr>
          </w:p>
        </w:tc>
      </w:tr>
      <w:tr w:rsidR="00830FAB" w:rsidRPr="004F276F" w14:paraId="095574F0" w14:textId="77777777" w:rsidTr="00C37D48">
        <w:trPr>
          <w:trHeight w:val="889"/>
        </w:trPr>
        <w:tc>
          <w:tcPr>
            <w:tcW w:w="1066" w:type="dxa"/>
            <w:vAlign w:val="center"/>
          </w:tcPr>
          <w:p w14:paraId="5D6F449A" w14:textId="431482DE" w:rsidR="00830FAB" w:rsidRPr="00C37D48" w:rsidRDefault="00830FAB" w:rsidP="00830FAB">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830FAB" w:rsidRPr="00C37D48" w:rsidRDefault="00830FAB" w:rsidP="00830FAB">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830FAB" w:rsidRPr="004F276F" w14:paraId="2DB82622" w14:textId="77777777" w:rsidTr="00C37D48">
        <w:trPr>
          <w:trHeight w:val="1020"/>
        </w:trPr>
        <w:tc>
          <w:tcPr>
            <w:tcW w:w="1066" w:type="dxa"/>
            <w:vAlign w:val="center"/>
          </w:tcPr>
          <w:p w14:paraId="2E73CED1" w14:textId="77777777" w:rsidR="00830FAB" w:rsidRPr="00C37D48" w:rsidRDefault="00830FAB" w:rsidP="00830FAB">
            <w:pPr>
              <w:rPr>
                <w:rFonts w:ascii="Calibri" w:hAnsi="Calibri" w:cs="Calibri"/>
              </w:rPr>
            </w:pPr>
          </w:p>
        </w:tc>
        <w:tc>
          <w:tcPr>
            <w:tcW w:w="9376" w:type="dxa"/>
            <w:gridSpan w:val="5"/>
            <w:shd w:val="clear" w:color="auto" w:fill="auto"/>
            <w:vAlign w:val="center"/>
          </w:tcPr>
          <w:p w14:paraId="2BD1E12C" w14:textId="77777777" w:rsidR="00830FAB" w:rsidRPr="00C37D48" w:rsidRDefault="00830FAB" w:rsidP="00830FAB">
            <w:pPr>
              <w:rPr>
                <w:rFonts w:ascii="Calibri" w:hAnsi="Calibri" w:cs="Calibri"/>
              </w:rPr>
            </w:pPr>
          </w:p>
        </w:tc>
      </w:tr>
      <w:tr w:rsidR="00830FAB" w:rsidRPr="004F276F" w14:paraId="1CAFA634" w14:textId="77777777" w:rsidTr="00C37D48">
        <w:trPr>
          <w:trHeight w:val="22"/>
        </w:trPr>
        <w:tc>
          <w:tcPr>
            <w:tcW w:w="1066" w:type="dxa"/>
            <w:vAlign w:val="center"/>
          </w:tcPr>
          <w:p w14:paraId="0C9BB554" w14:textId="181FBEFB" w:rsidR="00830FAB" w:rsidRPr="00C37D48" w:rsidRDefault="00830FAB" w:rsidP="00830FA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830FAB" w:rsidRPr="00C37D48" w:rsidRDefault="00830FAB" w:rsidP="00830FAB">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830FAB" w:rsidRPr="004F276F" w14:paraId="6EF1F308" w14:textId="77777777" w:rsidTr="00C37D48">
        <w:trPr>
          <w:trHeight w:val="23"/>
        </w:trPr>
        <w:tc>
          <w:tcPr>
            <w:tcW w:w="1066" w:type="dxa"/>
            <w:vAlign w:val="center"/>
          </w:tcPr>
          <w:p w14:paraId="3992D28E" w14:textId="2F803C40" w:rsidR="00830FAB" w:rsidRPr="00C37D48" w:rsidRDefault="00830FAB" w:rsidP="00830FAB">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830FAB" w:rsidRPr="00C37D48" w:rsidRDefault="00830FAB" w:rsidP="00830FAB">
            <w:pPr>
              <w:rPr>
                <w:rFonts w:ascii="Calibri" w:hAnsi="Calibri" w:cs="Calibri"/>
              </w:rPr>
            </w:pPr>
            <w:r w:rsidRPr="00C37D48">
              <w:rPr>
                <w:rFonts w:ascii="Calibri" w:hAnsi="Calibri" w:cs="Calibri"/>
              </w:rPr>
              <w:t>Monetary fine</w:t>
            </w:r>
          </w:p>
        </w:tc>
        <w:tc>
          <w:tcPr>
            <w:tcW w:w="4894" w:type="dxa"/>
            <w:gridSpan w:val="4"/>
            <w:vAlign w:val="center"/>
          </w:tcPr>
          <w:p w14:paraId="33D0DE6E" w14:textId="79BC2D6B" w:rsidR="00830FAB" w:rsidRPr="00C37D48" w:rsidRDefault="00830FAB" w:rsidP="00830FAB">
            <w:pPr>
              <w:rPr>
                <w:rFonts w:ascii="Calibri" w:hAnsi="Calibri" w:cs="Calibri"/>
              </w:rPr>
            </w:pPr>
          </w:p>
        </w:tc>
      </w:tr>
      <w:tr w:rsidR="00830FAB" w:rsidRPr="004F276F" w14:paraId="673259F0" w14:textId="77777777" w:rsidTr="00C37D48">
        <w:trPr>
          <w:trHeight w:val="20"/>
        </w:trPr>
        <w:tc>
          <w:tcPr>
            <w:tcW w:w="1066" w:type="dxa"/>
            <w:vAlign w:val="center"/>
          </w:tcPr>
          <w:p w14:paraId="53056846" w14:textId="2E21F7E7" w:rsidR="00830FAB" w:rsidRPr="00C37D48" w:rsidRDefault="00830FAB" w:rsidP="00830FAB">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830FAB" w:rsidRPr="00C37D48" w:rsidRDefault="00830FAB" w:rsidP="00830FAB">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3480A2FA" w:rsidR="00830FAB" w:rsidRPr="00C37D48" w:rsidRDefault="00830FAB" w:rsidP="00830FAB">
            <w:pPr>
              <w:rPr>
                <w:rFonts w:ascii="Calibri" w:hAnsi="Calibri" w:cs="Calibri"/>
              </w:rPr>
            </w:pPr>
          </w:p>
        </w:tc>
      </w:tr>
      <w:tr w:rsidR="00830FAB" w:rsidRPr="004F276F" w14:paraId="4A8460FF" w14:textId="77777777" w:rsidTr="00C37D48">
        <w:trPr>
          <w:trHeight w:val="20"/>
        </w:trPr>
        <w:tc>
          <w:tcPr>
            <w:tcW w:w="1066" w:type="dxa"/>
            <w:vAlign w:val="center"/>
          </w:tcPr>
          <w:p w14:paraId="11B13491" w14:textId="6F835DFE" w:rsidR="00830FAB" w:rsidRPr="00C37D48" w:rsidRDefault="00830FAB" w:rsidP="00830FAB">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830FAB" w:rsidRPr="00C37D48" w:rsidRDefault="00830FAB" w:rsidP="00830FAB">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830FAB" w:rsidRPr="00C37D48" w:rsidRDefault="00830FAB" w:rsidP="00830FAB">
            <w:pPr>
              <w:rPr>
                <w:rFonts w:ascii="Calibri" w:hAnsi="Calibri" w:cs="Calibri"/>
              </w:rPr>
            </w:pPr>
          </w:p>
        </w:tc>
      </w:tr>
      <w:tr w:rsidR="00830FAB" w:rsidRPr="004F276F" w14:paraId="6355C223" w14:textId="77777777" w:rsidTr="00C37D48">
        <w:trPr>
          <w:trHeight w:val="20"/>
        </w:trPr>
        <w:tc>
          <w:tcPr>
            <w:tcW w:w="1066" w:type="dxa"/>
            <w:vAlign w:val="center"/>
          </w:tcPr>
          <w:p w14:paraId="538A0155" w14:textId="3CD33508" w:rsidR="00830FAB" w:rsidRPr="00C37D48" w:rsidRDefault="00830FAB" w:rsidP="00830FAB">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830FAB" w:rsidRPr="00C37D48" w:rsidRDefault="00830FAB" w:rsidP="00830FAB">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830FAB" w:rsidRPr="00C37D48" w:rsidRDefault="00830FAB" w:rsidP="00830FAB">
            <w:pPr>
              <w:rPr>
                <w:rFonts w:ascii="Calibri" w:hAnsi="Calibri" w:cs="Calibri"/>
              </w:rPr>
            </w:pPr>
          </w:p>
        </w:tc>
      </w:tr>
      <w:tr w:rsidR="00830FAB" w:rsidRPr="004F276F" w14:paraId="6B041451" w14:textId="77777777" w:rsidTr="00C37D48">
        <w:trPr>
          <w:trHeight w:val="20"/>
        </w:trPr>
        <w:tc>
          <w:tcPr>
            <w:tcW w:w="1066" w:type="dxa"/>
            <w:vAlign w:val="center"/>
          </w:tcPr>
          <w:p w14:paraId="6C05AF8C" w14:textId="4AA1D8A1" w:rsidR="00830FAB" w:rsidRPr="00C37D48" w:rsidRDefault="00830FAB" w:rsidP="00830FAB">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830FAB" w:rsidRPr="00C37D48" w:rsidRDefault="00830FAB" w:rsidP="00830FAB">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830FAB" w:rsidRPr="00C37D48" w:rsidRDefault="00830FAB" w:rsidP="00830FAB">
            <w:pPr>
              <w:rPr>
                <w:rFonts w:ascii="Calibri" w:hAnsi="Calibri" w:cs="Calibri"/>
              </w:rPr>
            </w:pPr>
          </w:p>
        </w:tc>
      </w:tr>
      <w:tr w:rsidR="00830FAB" w:rsidRPr="004F276F" w14:paraId="17639D54" w14:textId="77777777" w:rsidTr="00C37D48">
        <w:trPr>
          <w:trHeight w:val="20"/>
        </w:trPr>
        <w:tc>
          <w:tcPr>
            <w:tcW w:w="1066" w:type="dxa"/>
            <w:vAlign w:val="center"/>
          </w:tcPr>
          <w:p w14:paraId="168C5F77" w14:textId="125AC24B" w:rsidR="00830FAB" w:rsidRPr="00C37D48" w:rsidRDefault="00830FAB" w:rsidP="00830FA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830FAB" w:rsidRPr="00C37D48" w:rsidRDefault="00830FAB" w:rsidP="00830FAB">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830FAB" w:rsidRPr="00C37D48" w:rsidRDefault="00830FAB" w:rsidP="00830FAB">
            <w:pPr>
              <w:rPr>
                <w:rFonts w:ascii="Calibri" w:hAnsi="Calibri" w:cs="Calibri"/>
              </w:rPr>
            </w:pPr>
          </w:p>
        </w:tc>
      </w:tr>
      <w:tr w:rsidR="00830FAB" w:rsidRPr="004F276F" w14:paraId="00034212" w14:textId="77777777" w:rsidTr="00C37D48">
        <w:trPr>
          <w:trHeight w:val="20"/>
        </w:trPr>
        <w:tc>
          <w:tcPr>
            <w:tcW w:w="1066" w:type="dxa"/>
            <w:vAlign w:val="center"/>
          </w:tcPr>
          <w:p w14:paraId="639752FD" w14:textId="7A051CC9" w:rsidR="00830FAB" w:rsidRPr="00C37D48" w:rsidRDefault="00830FAB" w:rsidP="00830FAB">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830FAB" w:rsidRPr="00C37D48" w:rsidRDefault="00830FAB" w:rsidP="00830FAB">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43275C4E" w:rsidR="00830FAB" w:rsidRPr="00C37D48" w:rsidRDefault="00830FAB" w:rsidP="00830FAB">
            <w:pPr>
              <w:rPr>
                <w:rFonts w:ascii="Calibri" w:hAnsi="Calibri" w:cs="Calibri"/>
              </w:rPr>
            </w:pPr>
          </w:p>
        </w:tc>
      </w:tr>
      <w:tr w:rsidR="00830FAB" w:rsidRPr="004F276F" w14:paraId="7F736B75" w14:textId="77777777" w:rsidTr="00C37D48">
        <w:trPr>
          <w:trHeight w:val="20"/>
        </w:trPr>
        <w:tc>
          <w:tcPr>
            <w:tcW w:w="1066" w:type="dxa"/>
            <w:vAlign w:val="center"/>
          </w:tcPr>
          <w:p w14:paraId="180A5228" w14:textId="10EE8714" w:rsidR="00830FAB" w:rsidRPr="00C37D48" w:rsidRDefault="00830FAB" w:rsidP="00830FAB">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830FAB" w:rsidRPr="00C37D48" w:rsidRDefault="00830FAB" w:rsidP="00830FAB">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830FAB" w:rsidRPr="00C37D48" w:rsidRDefault="00830FAB" w:rsidP="00830FAB">
            <w:pPr>
              <w:rPr>
                <w:rFonts w:ascii="Calibri" w:hAnsi="Calibri" w:cs="Calibri"/>
              </w:rPr>
            </w:pPr>
          </w:p>
        </w:tc>
      </w:tr>
      <w:tr w:rsidR="00830FAB" w:rsidRPr="004F276F" w14:paraId="47DD5311" w14:textId="77777777" w:rsidTr="00C37D48">
        <w:trPr>
          <w:trHeight w:val="20"/>
        </w:trPr>
        <w:tc>
          <w:tcPr>
            <w:tcW w:w="1066" w:type="dxa"/>
            <w:vAlign w:val="center"/>
          </w:tcPr>
          <w:p w14:paraId="09EE7160" w14:textId="76415171" w:rsidR="00830FAB" w:rsidRPr="00C37D48" w:rsidRDefault="00830FAB" w:rsidP="00830FAB">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830FAB" w:rsidRPr="00C37D48" w:rsidRDefault="00830FAB" w:rsidP="00830FAB">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830FAB" w:rsidRPr="00C37D48" w:rsidRDefault="00830FAB" w:rsidP="00830FAB">
            <w:pPr>
              <w:rPr>
                <w:rFonts w:ascii="Calibri" w:hAnsi="Calibri" w:cs="Calibri"/>
              </w:rPr>
            </w:pPr>
          </w:p>
        </w:tc>
      </w:tr>
      <w:tr w:rsidR="00830FAB" w:rsidRPr="004F276F" w14:paraId="30665941" w14:textId="77777777" w:rsidTr="00C37D48">
        <w:trPr>
          <w:trHeight w:val="20"/>
        </w:trPr>
        <w:tc>
          <w:tcPr>
            <w:tcW w:w="1066" w:type="dxa"/>
            <w:vAlign w:val="center"/>
          </w:tcPr>
          <w:p w14:paraId="10C89A81" w14:textId="2008AB08" w:rsidR="00830FAB" w:rsidRPr="00C37D48" w:rsidRDefault="00830FAB" w:rsidP="00830FAB">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830FAB" w:rsidRPr="00C37D48" w:rsidRDefault="00830FAB" w:rsidP="00830FAB">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830FAB" w:rsidRPr="00C37D48" w:rsidRDefault="00830FAB" w:rsidP="00830FAB">
            <w:pPr>
              <w:rPr>
                <w:rFonts w:ascii="Calibri" w:hAnsi="Calibri" w:cs="Calibri"/>
              </w:rPr>
            </w:pPr>
          </w:p>
        </w:tc>
      </w:tr>
      <w:tr w:rsidR="00830FAB" w:rsidRPr="004F276F" w14:paraId="46D4883D" w14:textId="77777777" w:rsidTr="00C37D48">
        <w:trPr>
          <w:trHeight w:val="20"/>
        </w:trPr>
        <w:tc>
          <w:tcPr>
            <w:tcW w:w="1066" w:type="dxa"/>
            <w:vAlign w:val="center"/>
          </w:tcPr>
          <w:p w14:paraId="1C271DE9" w14:textId="30914324" w:rsidR="00830FAB" w:rsidRPr="00C37D48" w:rsidRDefault="00830FAB" w:rsidP="00830FAB">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830FAB" w:rsidRPr="00C37D48" w:rsidRDefault="00830FAB" w:rsidP="00830FAB">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830FAB" w:rsidRPr="004F276F" w14:paraId="1665B049" w14:textId="77777777" w:rsidTr="00C37D48">
        <w:trPr>
          <w:trHeight w:val="1020"/>
        </w:trPr>
        <w:tc>
          <w:tcPr>
            <w:tcW w:w="1066" w:type="dxa"/>
            <w:vAlign w:val="center"/>
          </w:tcPr>
          <w:p w14:paraId="2DBDC4DF" w14:textId="77777777" w:rsidR="00830FAB" w:rsidRPr="00C37D48" w:rsidRDefault="00830FAB" w:rsidP="00830FAB">
            <w:pPr>
              <w:rPr>
                <w:rFonts w:ascii="Calibri" w:hAnsi="Calibri" w:cs="Calibri"/>
                <w:b/>
                <w:bCs/>
              </w:rPr>
            </w:pPr>
          </w:p>
        </w:tc>
        <w:tc>
          <w:tcPr>
            <w:tcW w:w="9376" w:type="dxa"/>
            <w:gridSpan w:val="5"/>
            <w:shd w:val="clear" w:color="auto" w:fill="auto"/>
            <w:vAlign w:val="center"/>
          </w:tcPr>
          <w:p w14:paraId="643668F7" w14:textId="580CEEAE" w:rsidR="00830FAB" w:rsidRPr="00C37D48" w:rsidRDefault="00830FAB" w:rsidP="00937AF7">
            <w:pPr>
              <w:rPr>
                <w:rFonts w:ascii="Calibri" w:hAnsi="Calibri" w:cs="Calibri"/>
              </w:rPr>
            </w:pPr>
          </w:p>
        </w:tc>
      </w:tr>
      <w:tr w:rsidR="00830FAB" w:rsidRPr="004F276F" w14:paraId="266F37E0" w14:textId="77777777" w:rsidTr="00A50CB8">
        <w:trPr>
          <w:trHeight w:val="1430"/>
        </w:trPr>
        <w:tc>
          <w:tcPr>
            <w:tcW w:w="1066" w:type="dxa"/>
            <w:vAlign w:val="center"/>
          </w:tcPr>
          <w:p w14:paraId="35DCC96C" w14:textId="77777777" w:rsidR="00830FAB" w:rsidRPr="00C37D48" w:rsidRDefault="00830FAB" w:rsidP="00830FAB">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830FAB" w:rsidRPr="00C37D48" w:rsidRDefault="00830FAB" w:rsidP="00830FAB">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830FAB" w:rsidRPr="00C37D48" w:rsidRDefault="00830FAB" w:rsidP="00830FAB">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830FAB" w:rsidRPr="00C37D48" w:rsidRDefault="00830FAB" w:rsidP="00830FAB">
            <w:pPr>
              <w:rPr>
                <w:rFonts w:ascii="Calibri" w:hAnsi="Calibri" w:cs="Calibri"/>
              </w:rPr>
            </w:pPr>
            <w:r w:rsidRPr="00C37D48">
              <w:rPr>
                <w:rFonts w:ascii="Calibri" w:hAnsi="Calibri" w:cs="Calibri"/>
              </w:rPr>
              <w:t xml:space="preserve">Select the appropriate response using an X.   </w:t>
            </w:r>
          </w:p>
        </w:tc>
      </w:tr>
      <w:tr w:rsidR="00830FAB" w:rsidRPr="004F276F" w14:paraId="0352DB15" w14:textId="77777777" w:rsidTr="00A50CB8">
        <w:trPr>
          <w:trHeight w:val="440"/>
        </w:trPr>
        <w:tc>
          <w:tcPr>
            <w:tcW w:w="1066" w:type="dxa"/>
            <w:vAlign w:val="center"/>
          </w:tcPr>
          <w:p w14:paraId="13BF45D9" w14:textId="77777777" w:rsidR="00830FAB" w:rsidRPr="00C37D48" w:rsidRDefault="00830FAB" w:rsidP="00830FAB">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830FAB" w:rsidRPr="00C37D48" w:rsidRDefault="00830FAB" w:rsidP="00830FAB">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830FAB" w:rsidRPr="00C37D48" w:rsidRDefault="00830FAB" w:rsidP="00830FAB">
            <w:pPr>
              <w:rPr>
                <w:rFonts w:ascii="Calibri" w:hAnsi="Calibri" w:cs="Calibri"/>
              </w:rPr>
            </w:pPr>
          </w:p>
        </w:tc>
      </w:tr>
      <w:tr w:rsidR="00830FAB" w:rsidRPr="004F276F" w14:paraId="4CAD326F" w14:textId="77777777" w:rsidTr="00A50CB8">
        <w:trPr>
          <w:trHeight w:val="440"/>
        </w:trPr>
        <w:tc>
          <w:tcPr>
            <w:tcW w:w="1066" w:type="dxa"/>
            <w:vAlign w:val="center"/>
          </w:tcPr>
          <w:p w14:paraId="1CAB7332" w14:textId="77777777" w:rsidR="00830FAB" w:rsidRPr="00C37D48" w:rsidRDefault="00830FAB" w:rsidP="00830FAB">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830FAB" w:rsidRPr="00C37D48" w:rsidRDefault="00830FAB" w:rsidP="00830FAB">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830FAB" w:rsidRPr="00C37D48" w:rsidRDefault="00830FAB" w:rsidP="00830FAB">
            <w:pPr>
              <w:rPr>
                <w:rFonts w:ascii="Calibri" w:hAnsi="Calibri" w:cs="Calibri"/>
              </w:rPr>
            </w:pPr>
          </w:p>
        </w:tc>
      </w:tr>
      <w:tr w:rsidR="00830FAB" w:rsidRPr="004F276F" w14:paraId="720E8005" w14:textId="77777777" w:rsidTr="00A50CB8">
        <w:trPr>
          <w:trHeight w:val="890"/>
        </w:trPr>
        <w:tc>
          <w:tcPr>
            <w:tcW w:w="1066" w:type="dxa"/>
            <w:vAlign w:val="center"/>
          </w:tcPr>
          <w:p w14:paraId="2B74A8CA" w14:textId="77777777" w:rsidR="00830FAB" w:rsidRPr="00C37D48" w:rsidRDefault="00830FAB" w:rsidP="00830FAB">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830FAB" w:rsidRPr="00C37D48" w:rsidRDefault="00830FAB" w:rsidP="00830FAB">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830FAB" w:rsidRPr="004F276F" w14:paraId="42EAA77C" w14:textId="77777777" w:rsidTr="00A50CB8">
        <w:trPr>
          <w:trHeight w:val="1020"/>
        </w:trPr>
        <w:tc>
          <w:tcPr>
            <w:tcW w:w="1066" w:type="dxa"/>
            <w:vAlign w:val="center"/>
          </w:tcPr>
          <w:p w14:paraId="31524185" w14:textId="77777777" w:rsidR="00830FAB" w:rsidRPr="00C37D48" w:rsidRDefault="00830FAB" w:rsidP="00830FAB">
            <w:pPr>
              <w:rPr>
                <w:rFonts w:ascii="Calibri" w:hAnsi="Calibri" w:cs="Calibri"/>
              </w:rPr>
            </w:pPr>
          </w:p>
        </w:tc>
        <w:tc>
          <w:tcPr>
            <w:tcW w:w="9376" w:type="dxa"/>
            <w:gridSpan w:val="5"/>
            <w:shd w:val="clear" w:color="auto" w:fill="auto"/>
            <w:vAlign w:val="center"/>
          </w:tcPr>
          <w:p w14:paraId="3BA84EFA" w14:textId="77777777" w:rsidR="00830FAB" w:rsidRPr="00C37D48" w:rsidRDefault="00830FAB" w:rsidP="00830FAB">
            <w:pPr>
              <w:rPr>
                <w:rFonts w:ascii="Calibri" w:hAnsi="Calibri" w:cs="Calibri"/>
              </w:rPr>
            </w:pPr>
          </w:p>
        </w:tc>
      </w:tr>
      <w:tr w:rsidR="00830FAB" w:rsidRPr="004F276F" w14:paraId="6F421B4D" w14:textId="77777777" w:rsidTr="00A50CB8">
        <w:trPr>
          <w:trHeight w:val="1475"/>
        </w:trPr>
        <w:tc>
          <w:tcPr>
            <w:tcW w:w="1066" w:type="dxa"/>
            <w:vAlign w:val="center"/>
          </w:tcPr>
          <w:p w14:paraId="3F2811A5" w14:textId="77777777" w:rsidR="00830FAB" w:rsidRPr="00C37D48" w:rsidRDefault="00830FAB" w:rsidP="00830FAB">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830FAB" w:rsidRPr="00C37D48" w:rsidRDefault="00830FAB" w:rsidP="00830FAB">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830FAB" w:rsidRPr="00C37D48" w:rsidRDefault="00830FAB" w:rsidP="00830FAB">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830FAB" w:rsidRPr="00C37D48" w:rsidRDefault="00830FAB" w:rsidP="00830FAB">
            <w:pPr>
              <w:rPr>
                <w:rFonts w:ascii="Calibri" w:hAnsi="Calibri" w:cs="Calibri"/>
              </w:rPr>
            </w:pPr>
            <w:r w:rsidRPr="00C37D48">
              <w:rPr>
                <w:rFonts w:ascii="Calibri" w:hAnsi="Calibri" w:cs="Calibri"/>
              </w:rPr>
              <w:t xml:space="preserve">Select the appropriate response using an X.   </w:t>
            </w:r>
          </w:p>
        </w:tc>
      </w:tr>
      <w:tr w:rsidR="00830FAB" w:rsidRPr="004F276F" w14:paraId="37C78339" w14:textId="77777777" w:rsidTr="00A50CB8">
        <w:trPr>
          <w:trHeight w:val="440"/>
        </w:trPr>
        <w:tc>
          <w:tcPr>
            <w:tcW w:w="1066" w:type="dxa"/>
            <w:vAlign w:val="center"/>
          </w:tcPr>
          <w:p w14:paraId="561E4A57" w14:textId="77777777" w:rsidR="00830FAB" w:rsidRPr="00C37D48" w:rsidRDefault="00830FAB" w:rsidP="00830FAB">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830FAB" w:rsidRPr="00C37D48" w:rsidRDefault="00830FAB" w:rsidP="00830FAB">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032D7AF5" w:rsidR="00830FAB" w:rsidRPr="00C37D48" w:rsidRDefault="00830FAB" w:rsidP="00830FAB">
            <w:pPr>
              <w:rPr>
                <w:rFonts w:ascii="Calibri" w:hAnsi="Calibri" w:cs="Calibri"/>
              </w:rPr>
            </w:pPr>
          </w:p>
        </w:tc>
      </w:tr>
      <w:tr w:rsidR="00830FAB" w:rsidRPr="004F276F" w14:paraId="03B3B2C2" w14:textId="77777777" w:rsidTr="00A50CB8">
        <w:trPr>
          <w:trHeight w:val="440"/>
        </w:trPr>
        <w:tc>
          <w:tcPr>
            <w:tcW w:w="1066" w:type="dxa"/>
            <w:vAlign w:val="center"/>
          </w:tcPr>
          <w:p w14:paraId="7C01F4A6" w14:textId="77777777" w:rsidR="00830FAB" w:rsidRPr="00C37D48" w:rsidRDefault="00830FAB" w:rsidP="00830FAB">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830FAB" w:rsidRPr="00C37D48" w:rsidRDefault="00830FAB" w:rsidP="00830FAB">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830FAB" w:rsidRPr="00C37D48" w:rsidRDefault="00830FAB" w:rsidP="00830FAB">
            <w:pPr>
              <w:rPr>
                <w:rFonts w:ascii="Calibri" w:hAnsi="Calibri" w:cs="Calibri"/>
              </w:rPr>
            </w:pPr>
          </w:p>
        </w:tc>
      </w:tr>
      <w:tr w:rsidR="00830FAB" w:rsidRPr="004F276F" w14:paraId="5A4004CD" w14:textId="77777777" w:rsidTr="00A50CB8">
        <w:trPr>
          <w:trHeight w:val="872"/>
        </w:trPr>
        <w:tc>
          <w:tcPr>
            <w:tcW w:w="1066" w:type="dxa"/>
            <w:vAlign w:val="center"/>
          </w:tcPr>
          <w:p w14:paraId="1FDD79FF" w14:textId="77777777" w:rsidR="00830FAB" w:rsidRPr="00C37D48" w:rsidRDefault="00830FAB" w:rsidP="00830FAB">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830FAB" w:rsidRPr="00C37D48" w:rsidRDefault="00830FAB" w:rsidP="00830FAB">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830FAB" w:rsidRPr="004F276F" w14:paraId="6CF2CF5B" w14:textId="77777777" w:rsidTr="00A50CB8">
        <w:trPr>
          <w:trHeight w:val="1020"/>
        </w:trPr>
        <w:tc>
          <w:tcPr>
            <w:tcW w:w="1066" w:type="dxa"/>
            <w:vAlign w:val="center"/>
          </w:tcPr>
          <w:p w14:paraId="65050689" w14:textId="77777777" w:rsidR="00830FAB" w:rsidRPr="00C37D48" w:rsidRDefault="00830FAB" w:rsidP="00830FAB">
            <w:pPr>
              <w:rPr>
                <w:rFonts w:ascii="Calibri" w:hAnsi="Calibri" w:cs="Calibri"/>
              </w:rPr>
            </w:pPr>
          </w:p>
        </w:tc>
        <w:tc>
          <w:tcPr>
            <w:tcW w:w="9376" w:type="dxa"/>
            <w:gridSpan w:val="5"/>
            <w:shd w:val="clear" w:color="auto" w:fill="auto"/>
            <w:vAlign w:val="center"/>
          </w:tcPr>
          <w:p w14:paraId="0CD89C5A" w14:textId="77777777" w:rsidR="00830FAB" w:rsidRPr="00C37D48" w:rsidRDefault="00830FAB" w:rsidP="00830FAB">
            <w:pPr>
              <w:rPr>
                <w:rFonts w:ascii="Calibri" w:hAnsi="Calibri" w:cs="Calibri"/>
              </w:rPr>
            </w:pPr>
          </w:p>
        </w:tc>
      </w:tr>
      <w:tr w:rsidR="00830FAB" w:rsidRPr="004F276F" w14:paraId="073B35A9" w14:textId="77777777" w:rsidTr="00A50CB8">
        <w:trPr>
          <w:trHeight w:val="1070"/>
        </w:trPr>
        <w:tc>
          <w:tcPr>
            <w:tcW w:w="1066" w:type="dxa"/>
            <w:vAlign w:val="center"/>
          </w:tcPr>
          <w:p w14:paraId="3A09CBC6" w14:textId="77777777" w:rsidR="00830FAB" w:rsidRPr="00C37D48" w:rsidRDefault="00830FAB" w:rsidP="00830FAB">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830FAB" w:rsidRPr="00C37D48" w:rsidRDefault="00830FAB" w:rsidP="00830FAB">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830FAB" w:rsidRPr="004F276F" w14:paraId="02BB9213" w14:textId="77777777" w:rsidTr="00A50CB8">
        <w:trPr>
          <w:trHeight w:val="440"/>
        </w:trPr>
        <w:tc>
          <w:tcPr>
            <w:tcW w:w="1066" w:type="dxa"/>
            <w:vAlign w:val="center"/>
          </w:tcPr>
          <w:p w14:paraId="0586506A" w14:textId="77777777" w:rsidR="00830FAB" w:rsidRPr="00C37D48" w:rsidRDefault="00830FAB" w:rsidP="00830FAB">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830FAB" w:rsidRPr="00C37D48" w:rsidRDefault="00830FAB" w:rsidP="00830FAB">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0F121BBA" w:rsidR="00830FAB" w:rsidRPr="00C37D48" w:rsidRDefault="00830FAB" w:rsidP="00830FAB">
            <w:pPr>
              <w:rPr>
                <w:rFonts w:ascii="Calibri" w:hAnsi="Calibri" w:cs="Calibri"/>
              </w:rPr>
            </w:pPr>
          </w:p>
        </w:tc>
      </w:tr>
      <w:tr w:rsidR="00830FAB" w:rsidRPr="004F276F" w14:paraId="550C7D5C" w14:textId="77777777" w:rsidTr="00A50CB8">
        <w:trPr>
          <w:trHeight w:val="350"/>
        </w:trPr>
        <w:tc>
          <w:tcPr>
            <w:tcW w:w="1066" w:type="dxa"/>
            <w:vAlign w:val="center"/>
          </w:tcPr>
          <w:p w14:paraId="70DF9CD2" w14:textId="77777777" w:rsidR="00830FAB" w:rsidRPr="00C37D48" w:rsidRDefault="00830FAB" w:rsidP="00830FAB">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830FAB" w:rsidRPr="00C37D48" w:rsidRDefault="00830FAB" w:rsidP="00830FAB">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02D2B225" w:rsidR="00830FAB" w:rsidRPr="00C37D48" w:rsidRDefault="00830FAB" w:rsidP="00830FAB">
            <w:pPr>
              <w:rPr>
                <w:rFonts w:ascii="Calibri" w:hAnsi="Calibri" w:cs="Calibri"/>
              </w:rPr>
            </w:pPr>
          </w:p>
        </w:tc>
      </w:tr>
      <w:tr w:rsidR="00830FAB" w:rsidRPr="004F276F" w14:paraId="0D7683EB" w14:textId="77777777" w:rsidTr="00A50CB8">
        <w:trPr>
          <w:trHeight w:val="766"/>
        </w:trPr>
        <w:tc>
          <w:tcPr>
            <w:tcW w:w="1066" w:type="dxa"/>
            <w:vAlign w:val="center"/>
          </w:tcPr>
          <w:p w14:paraId="5B32072A" w14:textId="77777777" w:rsidR="00830FAB" w:rsidRPr="00C37D48" w:rsidRDefault="00830FAB" w:rsidP="00830FAB">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830FAB" w:rsidRPr="00C37D48" w:rsidRDefault="00830FAB" w:rsidP="00830FAB">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830FAB" w:rsidRPr="004F276F" w14:paraId="2912BD65" w14:textId="77777777" w:rsidTr="00A50CB8">
        <w:trPr>
          <w:trHeight w:val="1020"/>
        </w:trPr>
        <w:tc>
          <w:tcPr>
            <w:tcW w:w="1066" w:type="dxa"/>
            <w:vAlign w:val="center"/>
          </w:tcPr>
          <w:p w14:paraId="16AF8320" w14:textId="77777777" w:rsidR="00830FAB" w:rsidRPr="00C37D48" w:rsidRDefault="00830FAB" w:rsidP="00830FAB">
            <w:pPr>
              <w:rPr>
                <w:rFonts w:ascii="Calibri" w:hAnsi="Calibri" w:cs="Calibri"/>
              </w:rPr>
            </w:pPr>
          </w:p>
        </w:tc>
        <w:tc>
          <w:tcPr>
            <w:tcW w:w="9376" w:type="dxa"/>
            <w:gridSpan w:val="5"/>
            <w:shd w:val="clear" w:color="auto" w:fill="auto"/>
            <w:vAlign w:val="center"/>
          </w:tcPr>
          <w:p w14:paraId="6646114E" w14:textId="37415A89" w:rsidR="00830FAB" w:rsidRPr="00C516E7" w:rsidRDefault="00830FAB" w:rsidP="00C516E7">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lastRenderedPageBreak/>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301ABB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7224349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2023A6E"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A8879EE"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0BA95EC"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1165F3E"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6250A590"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AEC6F8F"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B80B084"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300A38D"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A8F2BC5"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18EEC59"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30DEC9F"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3D7D8C3C"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00399E6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583B64E1" w:rsidR="00F06A70" w:rsidRPr="00C516E7" w:rsidRDefault="00F06A70" w:rsidP="00C516E7">
            <w:pPr>
              <w:rPr>
                <w:rFonts w:ascii="Calibri" w:hAnsi="Calibri" w:cs="Calibri"/>
              </w:rPr>
            </w:pPr>
            <w:r w:rsidRPr="00C516E7">
              <w:rPr>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1B4323DC"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5AD03020" w:rsidR="002F0752" w:rsidRPr="00CF2E7C" w:rsidRDefault="00A50CB8"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0194B73C"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54595167" w:rsidR="002F0752" w:rsidRPr="00CF2E7C" w:rsidRDefault="00C516E7"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432D49" w:rsidR="002F0752" w:rsidRPr="00CF2E7C" w:rsidRDefault="00A50CB8"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414631F8"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3CF7C146" w:rsidR="002F0752" w:rsidRPr="00CF2E7C" w:rsidRDefault="00C516E7"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7BE78FE"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31346498" w:rsidR="002F0752" w:rsidRPr="00CF2E7C" w:rsidRDefault="00C516E7"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E14E5A8" w:rsidR="002F0752" w:rsidRPr="00CF2E7C" w:rsidRDefault="00A50CB8"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2BB534C" w:rsidR="002F0752" w:rsidRPr="00CF2E7C" w:rsidRDefault="00A50CB8"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3D6FE0C8" w:rsidR="002F0752" w:rsidRPr="00CF2E7C" w:rsidRDefault="006B7A3B" w:rsidP="00CF2E7C">
            <w:pPr>
              <w:rPr>
                <w:rFonts w:ascii="Calibri" w:hAnsi="Calibri" w:cs="Calibri"/>
              </w:rPr>
            </w:pPr>
            <w:r>
              <w:rPr>
                <w:rFonts w:ascii="Calibri" w:hAnsi="Calibri" w:cs="Calibri"/>
              </w:rPr>
              <w:t>X</w:t>
            </w:r>
          </w:p>
        </w:tc>
        <w:tc>
          <w:tcPr>
            <w:tcW w:w="1482" w:type="dxa"/>
            <w:vAlign w:val="center"/>
          </w:tcPr>
          <w:p w14:paraId="40CB95DB" w14:textId="486796F3" w:rsidR="002F0752" w:rsidRPr="00CF2E7C" w:rsidRDefault="002F0752" w:rsidP="00CF2E7C">
            <w:pPr>
              <w:rPr>
                <w:rFonts w:ascii="Calibri" w:hAnsi="Calibri" w:cs="Calibri"/>
              </w:rPr>
            </w:pPr>
          </w:p>
        </w:tc>
        <w:tc>
          <w:tcPr>
            <w:tcW w:w="1483" w:type="dxa"/>
            <w:vAlign w:val="center"/>
          </w:tcPr>
          <w:p w14:paraId="5D40C8F3" w14:textId="2EC3E255"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080F2769" w:rsidR="002F0752" w:rsidRPr="00CF2E7C" w:rsidRDefault="006B7A3B" w:rsidP="00CF2E7C">
            <w:pPr>
              <w:rPr>
                <w:rFonts w:ascii="Calibri" w:hAnsi="Calibri" w:cs="Calibri"/>
              </w:rPr>
            </w:pPr>
            <w:r>
              <w:rPr>
                <w:rFonts w:ascii="Calibri" w:hAnsi="Calibri" w:cs="Calibri"/>
              </w:rPr>
              <w:t>X</w:t>
            </w:r>
          </w:p>
        </w:tc>
        <w:tc>
          <w:tcPr>
            <w:tcW w:w="1482" w:type="dxa"/>
            <w:vAlign w:val="center"/>
          </w:tcPr>
          <w:p w14:paraId="196811D1" w14:textId="4916BDC5" w:rsidR="002F0752" w:rsidRPr="00CF2E7C" w:rsidRDefault="002F0752" w:rsidP="00CF2E7C">
            <w:pPr>
              <w:rPr>
                <w:rFonts w:ascii="Calibri" w:hAnsi="Calibri" w:cs="Calibri"/>
              </w:rPr>
            </w:pPr>
          </w:p>
        </w:tc>
        <w:tc>
          <w:tcPr>
            <w:tcW w:w="1483" w:type="dxa"/>
            <w:vAlign w:val="center"/>
          </w:tcPr>
          <w:p w14:paraId="4880370C" w14:textId="2BCE9658"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3DA99F0F" w:rsidR="002F0752" w:rsidRPr="00CF2E7C" w:rsidRDefault="00A50CB8"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F47DE03" w:rsidR="002F0752" w:rsidRPr="00CF2E7C" w:rsidRDefault="00A50CB8"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4203D729" w:rsidR="002F0752" w:rsidRPr="00CF2E7C" w:rsidRDefault="00C516E7"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286225B9"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6D79087C" w:rsidR="002F0752" w:rsidRPr="00CF2E7C" w:rsidRDefault="002F0752" w:rsidP="00CF2E7C">
            <w:pPr>
              <w:rPr>
                <w:rFonts w:ascii="Calibri" w:hAnsi="Calibri" w:cs="Calibri"/>
              </w:rPr>
            </w:pPr>
          </w:p>
        </w:tc>
        <w:tc>
          <w:tcPr>
            <w:tcW w:w="1482" w:type="dxa"/>
            <w:vAlign w:val="center"/>
          </w:tcPr>
          <w:p w14:paraId="45F8D37F" w14:textId="0C672EBF" w:rsidR="002F0752" w:rsidRPr="00CF2E7C" w:rsidRDefault="00FC0F95" w:rsidP="00CF2E7C">
            <w:pPr>
              <w:rPr>
                <w:rFonts w:ascii="Calibri" w:hAnsi="Calibri" w:cs="Calibri"/>
              </w:rPr>
            </w:pPr>
            <w:r>
              <w:rPr>
                <w:rFonts w:ascii="Calibri" w:hAnsi="Calibri" w:cs="Calibri"/>
              </w:rPr>
              <w:t>X</w:t>
            </w: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bookmarkStart w:id="55" w:name="_Hlk202273409"/>
          </w:p>
        </w:tc>
        <w:tc>
          <w:tcPr>
            <w:tcW w:w="9374" w:type="dxa"/>
            <w:gridSpan w:val="5"/>
            <w:shd w:val="clear" w:color="auto" w:fill="auto"/>
            <w:vAlign w:val="center"/>
          </w:tcPr>
          <w:p w14:paraId="08E21EF3" w14:textId="43CF8D29" w:rsidR="002F0752" w:rsidRPr="00CF2E7C" w:rsidRDefault="00FC0F95" w:rsidP="00CF2E7C">
            <w:pPr>
              <w:rPr>
                <w:rFonts w:ascii="Calibri" w:hAnsi="Calibri" w:cs="Calibri"/>
              </w:rPr>
            </w:pPr>
            <w:r>
              <w:rPr>
                <w:rFonts w:ascii="Calibri" w:hAnsi="Calibri" w:cs="Calibri"/>
              </w:rPr>
              <w:t>T</w:t>
            </w:r>
            <w:r w:rsidR="00A50CB8" w:rsidRPr="001C7D48">
              <w:rPr>
                <w:rFonts w:ascii="Calibri" w:hAnsi="Calibri" w:cs="Calibri"/>
              </w:rPr>
              <w:t>ribal governments are not required but are encouraged to develop implementation plans under EG OOOOc.</w:t>
            </w:r>
          </w:p>
        </w:tc>
      </w:tr>
      <w:bookmarkEnd w:id="55"/>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16A4C499" w:rsidR="002F0752" w:rsidRPr="00CF2E7C" w:rsidRDefault="0095285B"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4A16CCE4" w:rsidR="002F0752" w:rsidRPr="00CF2E7C" w:rsidRDefault="0095285B"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67BF2037" w:rsidR="002F0752" w:rsidRPr="00CF2E7C" w:rsidRDefault="0095285B"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bookmarkStart w:id="56" w:name="_Hlk202196595"/>
            <w:r w:rsidRPr="00CF2E7C">
              <w:rPr>
                <w:rFonts w:ascii="Calibri" w:hAnsi="Calibri" w:cs="Calibri"/>
              </w:rPr>
              <w:t>Electricity, gas, steam, and air conditioning supply</w:t>
            </w:r>
            <w:bookmarkEnd w:id="56"/>
          </w:p>
        </w:tc>
        <w:tc>
          <w:tcPr>
            <w:tcW w:w="1482" w:type="dxa"/>
            <w:vAlign w:val="center"/>
          </w:tcPr>
          <w:p w14:paraId="18EA5096" w14:textId="24A3E95A" w:rsidR="002F0752" w:rsidRPr="00CF2E7C" w:rsidRDefault="007D040B"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2A43D292" w:rsidR="002F0752" w:rsidRPr="00CF2E7C" w:rsidRDefault="0095285B"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0B9595BA" w:rsidR="002F0752" w:rsidRPr="00CF2E7C" w:rsidRDefault="0095285B"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049DBB18" w:rsidR="002F0752" w:rsidRPr="00CF2E7C" w:rsidRDefault="0095285B"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321F35E0" w:rsidR="002F0752" w:rsidRPr="00CF2E7C" w:rsidRDefault="0095285B"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262A804" w:rsidR="002F0752" w:rsidRPr="00CF2E7C" w:rsidRDefault="0095285B"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4DD492E5" w:rsidR="002F0752" w:rsidRPr="00CF2E7C" w:rsidRDefault="0095285B"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6F143554" w:rsidR="002F0752" w:rsidRPr="00CF2E7C" w:rsidRDefault="0095285B"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54EC50F" w:rsidR="002F0752" w:rsidRPr="00CF2E7C" w:rsidRDefault="0095285B"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69EABFDE" w:rsidR="002F0752" w:rsidRPr="00CF2E7C" w:rsidRDefault="0095285B"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lastRenderedPageBreak/>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6DCF8562" w:rsidR="002F0752" w:rsidRPr="00CF2E7C" w:rsidRDefault="0095285B"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4D3CE35B" w:rsidR="002F0752" w:rsidRPr="00CF2E7C" w:rsidRDefault="0095285B"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33EB037C" w:rsidR="002F0752" w:rsidRPr="00CF2E7C" w:rsidRDefault="0095285B"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59F17553" w:rsidR="002F0752" w:rsidRPr="00CF2E7C" w:rsidRDefault="0095285B"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1F2EE3B8" w:rsidR="002F0752" w:rsidRPr="00CF2E7C" w:rsidRDefault="0095285B"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4E2D944" w:rsidR="002F0752" w:rsidRPr="00CF2E7C" w:rsidRDefault="0095285B"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6DB5F438" w:rsidR="002F0752" w:rsidRPr="00CF2E7C" w:rsidRDefault="0095285B"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8670579" w:rsidR="002F0752" w:rsidRPr="00CF2E7C" w:rsidRDefault="0095285B"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4320BBFD"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584DFE47" w:rsidR="002F0752" w:rsidRPr="00CF2E7C" w:rsidRDefault="00C516E7"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59D8BCB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6ACEE08E" w:rsidR="002F0752" w:rsidRPr="00CF2E7C" w:rsidRDefault="00DA7B3B" w:rsidP="00CF2E7C">
            <w:pPr>
              <w:rPr>
                <w:rFonts w:ascii="Calibri" w:hAnsi="Calibri" w:cs="Calibri"/>
              </w:rPr>
            </w:pPr>
            <w:r w:rsidRPr="00DA7B3B">
              <w:rPr>
                <w:rFonts w:ascii="Calibri" w:hAnsi="Calibri" w:cs="Calibri"/>
              </w:rPr>
              <w:t>The rule applies to new, modified, or reconstructed sources (NSPS OOOOb) and existing sources (EG OOOOc) in the oil and natural gas sector. NSPS OOOOb applies to sources constructed or modified after December 6, 2022, while EG OOOOc applies to sources on or before December 6, 2022. The facility types include well sites, compressor stations, storage vessels, pneumatic controllers/pumps, gas processing plants, etc. Some requirements (e.g. flaring restrictions) apply only to sources emitting &gt;40 tons/year of methane.</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475989CD" w:rsidR="002F0752" w:rsidRPr="00CF2E7C" w:rsidRDefault="000C5A82"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18183E65" w:rsidR="002F0752" w:rsidRPr="00CF2E7C" w:rsidRDefault="002F0752" w:rsidP="00356F03">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649199BD" w:rsidR="002F0752" w:rsidRPr="00CF2E7C" w:rsidRDefault="00DA7B3B"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9CF0E91" w:rsidR="002F0752" w:rsidRPr="00CF2E7C" w:rsidRDefault="00BC02D5"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lastRenderedPageBreak/>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40C3CCAA" w:rsidR="002F0752" w:rsidRPr="00CF2E7C" w:rsidRDefault="00DA7B3B" w:rsidP="00CF2E7C">
            <w:pPr>
              <w:rPr>
                <w:rFonts w:ascii="Calibri" w:hAnsi="Calibri" w:cs="Calibri"/>
              </w:rPr>
            </w:pPr>
            <w:r>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B8B96A3" w14:textId="3D7659B7" w:rsidR="00BC02D5" w:rsidRDefault="00A44502" w:rsidP="00BC02D5">
            <w:pPr>
              <w:rPr>
                <w:rFonts w:ascii="Calibri" w:hAnsi="Calibri" w:cs="Calibri"/>
              </w:rPr>
            </w:pPr>
            <w:r>
              <w:rPr>
                <w:rFonts w:ascii="Calibri" w:hAnsi="Calibri" w:cs="Calibri"/>
              </w:rPr>
              <w:t xml:space="preserve">Penalties for violations of the Rule are available under </w:t>
            </w:r>
            <w:r w:rsidR="00BC02D5">
              <w:rPr>
                <w:rFonts w:ascii="Calibri" w:hAnsi="Calibri" w:cs="Calibri"/>
              </w:rPr>
              <w:t xml:space="preserve">the </w:t>
            </w:r>
            <w:r w:rsidR="00BC02D5" w:rsidRPr="00A50CB8">
              <w:rPr>
                <w:rFonts w:ascii="Calibri" w:hAnsi="Calibri" w:cs="Calibri"/>
              </w:rPr>
              <w:t xml:space="preserve">Clean Air Act </w:t>
            </w:r>
            <w:r w:rsidR="00BC02D5">
              <w:rPr>
                <w:rFonts w:ascii="Calibri" w:hAnsi="Calibri" w:cs="Calibri"/>
              </w:rPr>
              <w:t>Section</w:t>
            </w:r>
            <w:r>
              <w:rPr>
                <w:rFonts w:ascii="Calibri" w:hAnsi="Calibri" w:cs="Calibri"/>
              </w:rPr>
              <w:t xml:space="preserve"> </w:t>
            </w:r>
            <w:r w:rsidR="00BC02D5" w:rsidRPr="00A50CB8">
              <w:rPr>
                <w:rFonts w:ascii="Calibri" w:hAnsi="Calibri" w:cs="Calibri"/>
              </w:rPr>
              <w:t>113(d)</w:t>
            </w:r>
            <w:r>
              <w:rPr>
                <w:rFonts w:ascii="Calibri" w:hAnsi="Calibri" w:cs="Calibri"/>
              </w:rPr>
              <w:t xml:space="preserve">.  That provision holds </w:t>
            </w:r>
            <w:r w:rsidR="00BC02D5">
              <w:rPr>
                <w:rFonts w:ascii="Calibri" w:hAnsi="Calibri" w:cs="Calibri"/>
              </w:rPr>
              <w:t>c</w:t>
            </w:r>
            <w:r w:rsidR="00BC02D5" w:rsidRPr="00A50CB8">
              <w:rPr>
                <w:rFonts w:ascii="Calibri" w:hAnsi="Calibri" w:cs="Calibri"/>
              </w:rPr>
              <w:t>ivil penalties can be assessed for each day of non-compliance</w:t>
            </w:r>
            <w:r w:rsidR="00C516E7">
              <w:rPr>
                <w:rFonts w:ascii="Calibri" w:hAnsi="Calibri" w:cs="Calibri"/>
              </w:rPr>
              <w:t xml:space="preserve"> </w:t>
            </w:r>
            <w:r>
              <w:rPr>
                <w:rFonts w:ascii="Calibri" w:hAnsi="Calibri" w:cs="Calibri"/>
              </w:rPr>
              <w:t xml:space="preserve">with the rule </w:t>
            </w:r>
            <w:r w:rsidR="00C516E7">
              <w:rPr>
                <w:rFonts w:ascii="Calibri" w:hAnsi="Calibri" w:cs="Calibri"/>
              </w:rPr>
              <w:t xml:space="preserve">or </w:t>
            </w:r>
            <w:r w:rsidR="00BC02D5" w:rsidRPr="00A50CB8">
              <w:rPr>
                <w:rFonts w:ascii="Calibri" w:hAnsi="Calibri" w:cs="Calibri"/>
              </w:rPr>
              <w:t>violations of emissions standards</w:t>
            </w:r>
            <w:r w:rsidR="00C516E7">
              <w:rPr>
                <w:rFonts w:ascii="Calibri" w:hAnsi="Calibri" w:cs="Calibri"/>
              </w:rPr>
              <w:t xml:space="preserve"> or</w:t>
            </w:r>
            <w:r w:rsidR="00BC02D5" w:rsidRPr="00A50CB8">
              <w:rPr>
                <w:rFonts w:ascii="Calibri" w:hAnsi="Calibri" w:cs="Calibri"/>
              </w:rPr>
              <w:t xml:space="preserve"> monitoring, reporting, and recordkeeping requirements.</w:t>
            </w:r>
            <w:r w:rsidR="00BC02D5">
              <w:rPr>
                <w:rFonts w:ascii="Calibri" w:hAnsi="Calibri" w:cs="Calibri"/>
              </w:rPr>
              <w:t xml:space="preserve"> </w:t>
            </w:r>
            <w:r w:rsidR="005F7FF3">
              <w:rPr>
                <w:rFonts w:ascii="Calibri" w:hAnsi="Calibri" w:cs="Calibri"/>
              </w:rPr>
              <w:t xml:space="preserve">The EPA may also </w:t>
            </w:r>
            <w:r w:rsidR="005F7FF3" w:rsidRPr="005F7FF3">
              <w:rPr>
                <w:rFonts w:ascii="Calibri" w:hAnsi="Calibri" w:cs="Calibri"/>
              </w:rPr>
              <w:t>issue compliance orders requiring corrective action</w:t>
            </w:r>
            <w:r w:rsidR="005F7FF3">
              <w:rPr>
                <w:rFonts w:ascii="Calibri" w:hAnsi="Calibri" w:cs="Calibri"/>
              </w:rPr>
              <w:t xml:space="preserve"> under Section 113(a) or </w:t>
            </w:r>
            <w:r w:rsidR="005F7FF3" w:rsidRPr="005F7FF3">
              <w:rPr>
                <w:rFonts w:ascii="Calibri" w:hAnsi="Calibri" w:cs="Calibri"/>
              </w:rPr>
              <w:t>seek court orders to compel compliance or halt operations</w:t>
            </w:r>
            <w:r w:rsidR="005F7FF3">
              <w:rPr>
                <w:rFonts w:ascii="Calibri" w:hAnsi="Calibri" w:cs="Calibri"/>
              </w:rPr>
              <w:t xml:space="preserve"> under Section 113(b)</w:t>
            </w:r>
            <w:r w:rsidR="005F7FF3" w:rsidRPr="005F7FF3">
              <w:rPr>
                <w:rFonts w:ascii="Calibri" w:hAnsi="Calibri" w:cs="Calibri"/>
              </w:rPr>
              <w:t>.</w:t>
            </w:r>
            <w:r w:rsidR="005F7FF3">
              <w:rPr>
                <w:rFonts w:ascii="Calibri" w:hAnsi="Calibri" w:cs="Calibri"/>
              </w:rPr>
              <w:t xml:space="preserve"> </w:t>
            </w:r>
            <w:r w:rsidR="00C516E7">
              <w:rPr>
                <w:rFonts w:ascii="Calibri" w:hAnsi="Calibri" w:cs="Calibri"/>
              </w:rPr>
              <w:t xml:space="preserve"> </w:t>
            </w:r>
            <w:r w:rsidR="00BC02D5">
              <w:rPr>
                <w:rFonts w:ascii="Calibri" w:hAnsi="Calibri" w:cs="Calibri"/>
              </w:rPr>
              <w:t xml:space="preserve">Under Section </w:t>
            </w:r>
            <w:r w:rsidR="00BC02D5" w:rsidRPr="00DD0CC8">
              <w:rPr>
                <w:rFonts w:ascii="Calibri" w:hAnsi="Calibri" w:cs="Calibri"/>
              </w:rPr>
              <w:t>113(c)</w:t>
            </w:r>
            <w:r w:rsidR="005F7FF3">
              <w:rPr>
                <w:rFonts w:ascii="Calibri" w:hAnsi="Calibri" w:cs="Calibri"/>
              </w:rPr>
              <w:t xml:space="preserve"> and according to page 16952 (</w:t>
            </w:r>
            <w:r w:rsidR="005F7FF3" w:rsidRPr="005F7FF3">
              <w:rPr>
                <w:rFonts w:ascii="Calibri" w:hAnsi="Calibri" w:cs="Calibri"/>
              </w:rPr>
              <w:t>89 Fed. Reg</w:t>
            </w:r>
            <w:r w:rsidR="005F7FF3">
              <w:rPr>
                <w:rFonts w:ascii="Calibri" w:hAnsi="Calibri" w:cs="Calibri"/>
              </w:rPr>
              <w:t>.) of the policy tool, w</w:t>
            </w:r>
            <w:r w:rsidR="005F7FF3" w:rsidRPr="00DD0CC8">
              <w:rPr>
                <w:rFonts w:ascii="Calibri" w:hAnsi="Calibri" w:cs="Calibri"/>
              </w:rPr>
              <w:t>ilful</w:t>
            </w:r>
            <w:r w:rsidR="00BC02D5" w:rsidRPr="00DD0CC8">
              <w:rPr>
                <w:rFonts w:ascii="Calibri" w:hAnsi="Calibri" w:cs="Calibri"/>
              </w:rPr>
              <w:t xml:space="preserve"> violations, such as falsifying reports or knowingly failing to comply, </w:t>
            </w:r>
            <w:r w:rsidR="005F7FF3">
              <w:rPr>
                <w:rFonts w:ascii="Calibri" w:hAnsi="Calibri" w:cs="Calibri"/>
              </w:rPr>
              <w:t>may</w:t>
            </w:r>
            <w:r w:rsidR="00BC02D5" w:rsidRPr="00DD0CC8">
              <w:rPr>
                <w:rFonts w:ascii="Calibri" w:hAnsi="Calibri" w:cs="Calibri"/>
              </w:rPr>
              <w:t xml:space="preserve"> result in </w:t>
            </w:r>
            <w:r w:rsidR="005F7FF3">
              <w:rPr>
                <w:rFonts w:ascii="Calibri" w:hAnsi="Calibri" w:cs="Calibri"/>
              </w:rPr>
              <w:t xml:space="preserve">both civil and </w:t>
            </w:r>
            <w:r w:rsidR="00BC02D5" w:rsidRPr="00DD0CC8">
              <w:rPr>
                <w:rFonts w:ascii="Calibri" w:hAnsi="Calibri" w:cs="Calibri"/>
              </w:rPr>
              <w:t xml:space="preserve">criminal prosecution. </w:t>
            </w:r>
            <w:r>
              <w:rPr>
                <w:rFonts w:ascii="Calibri" w:hAnsi="Calibri" w:cs="Calibri"/>
              </w:rPr>
              <w:t xml:space="preserve"> </w:t>
            </w:r>
            <w:r w:rsidR="00BC02D5" w:rsidRPr="00DD0CC8">
              <w:rPr>
                <w:rFonts w:ascii="Calibri" w:hAnsi="Calibri" w:cs="Calibri"/>
              </w:rPr>
              <w:t xml:space="preserve">Penalties </w:t>
            </w:r>
            <w:r w:rsidR="00BC02D5">
              <w:rPr>
                <w:rFonts w:ascii="Calibri" w:hAnsi="Calibri" w:cs="Calibri"/>
              </w:rPr>
              <w:t xml:space="preserve">may include fines, imprisonment, and </w:t>
            </w:r>
            <w:r w:rsidR="005F7FF3">
              <w:rPr>
                <w:rFonts w:ascii="Calibri" w:hAnsi="Calibri" w:cs="Calibri"/>
              </w:rPr>
              <w:t xml:space="preserve">other </w:t>
            </w:r>
            <w:r w:rsidR="00BC02D5">
              <w:rPr>
                <w:rFonts w:ascii="Calibri" w:hAnsi="Calibri" w:cs="Calibri"/>
              </w:rPr>
              <w:t>enhanced penalties for repeat offenders.</w:t>
            </w:r>
          </w:p>
          <w:p w14:paraId="09463928" w14:textId="71DFF8E8" w:rsidR="00785956" w:rsidRDefault="00785956" w:rsidP="00785956">
            <w:pPr>
              <w:rPr>
                <w:rFonts w:ascii="Calibri" w:hAnsi="Calibri" w:cs="Calibri"/>
              </w:rPr>
            </w:pPr>
            <w:hyperlink r:id="rId25" w:history="1">
              <w:r w:rsidRPr="00785956">
                <w:rPr>
                  <w:rStyle w:val="Hyperlink"/>
                  <w:rFonts w:ascii="Calibri" w:hAnsi="Calibri" w:cs="Calibri"/>
                </w:rPr>
                <w:t>Standards of Perfo</w:t>
              </w:r>
              <w:r w:rsidRPr="00785956">
                <w:rPr>
                  <w:rStyle w:val="Hyperlink"/>
                  <w:rFonts w:ascii="Calibri" w:hAnsi="Calibri" w:cs="Calibri"/>
                </w:rPr>
                <w:t>r</w:t>
              </w:r>
              <w:r w:rsidRPr="00785956">
                <w:rPr>
                  <w:rStyle w:val="Hyperlink"/>
                  <w:rFonts w:ascii="Calibri" w:hAnsi="Calibri" w:cs="Calibri"/>
                </w:rPr>
                <w:t>mance for New, Reconstructed, and Modified Sources and Emissions Guidelines for Existing Sources: Oil and Natural Gas Sector Climate Review</w:t>
              </w:r>
            </w:hyperlink>
          </w:p>
          <w:p w14:paraId="751ECCFE" w14:textId="77777777" w:rsidR="00BC02D5" w:rsidRDefault="00BC02D5" w:rsidP="00BC02D5">
            <w:pPr>
              <w:rPr>
                <w:rFonts w:ascii="Calibri" w:hAnsi="Calibri" w:cs="Calibri"/>
              </w:rPr>
            </w:pPr>
            <w:hyperlink r:id="rId26" w:history="1">
              <w:r w:rsidRPr="00DD0CC8">
                <w:rPr>
                  <w:rStyle w:val="Hyperlink"/>
                  <w:rFonts w:ascii="Calibri" w:hAnsi="Calibri" w:cs="Calibri"/>
                </w:rPr>
                <w:t>U.S.C. Title 42 - THE PUBLIC HEALTH AND WELFARE</w:t>
              </w:r>
            </w:hyperlink>
          </w:p>
          <w:p w14:paraId="447AA35B" w14:textId="39AB2E0D" w:rsidR="002F0752" w:rsidRPr="00CF2E7C" w:rsidRDefault="00BC02D5" w:rsidP="00BC02D5">
            <w:pPr>
              <w:rPr>
                <w:rFonts w:ascii="Calibri" w:hAnsi="Calibri" w:cs="Calibri"/>
              </w:rPr>
            </w:pPr>
            <w:hyperlink r:id="rId27" w:history="1">
              <w:r w:rsidRPr="00FC5ADF">
                <w:rPr>
                  <w:rStyle w:val="Hyperlink"/>
                  <w:rFonts w:ascii="Calibri" w:hAnsi="Calibri" w:cs="Calibri"/>
                </w:rPr>
                <w:t>https://www.epa.gov/sites/default/files/2013-10/documents/gdc-fact.pdf</w:t>
              </w:r>
            </w:hyperlink>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2041AB5" w:rsidR="002F0752" w:rsidRPr="00CF2E7C" w:rsidRDefault="00B463C1"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42814FF2"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5E4C79C" w:rsidR="00B463C1" w:rsidRPr="00B463C1" w:rsidRDefault="00B463C1" w:rsidP="00B463C1">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2D776740" w:rsidR="002F0752" w:rsidRPr="00CF2E7C" w:rsidRDefault="0007068D" w:rsidP="00CF2E7C">
            <w:pPr>
              <w:rPr>
                <w:rFonts w:ascii="Calibri" w:hAnsi="Calibri" w:cs="Calibri"/>
              </w:rPr>
            </w:pPr>
            <w:r>
              <w:rPr>
                <w:rFonts w:ascii="Calibri" w:hAnsi="Calibri" w:cs="Calibri"/>
              </w:rPr>
              <w:t>X</w:t>
            </w: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7A3BC9C" w14:textId="20B75D24" w:rsidR="002F0752" w:rsidRDefault="0007068D" w:rsidP="0007068D">
            <w:pPr>
              <w:rPr>
                <w:rFonts w:ascii="Calibri" w:hAnsi="Calibri" w:cs="Calibri"/>
              </w:rPr>
            </w:pPr>
            <w:r w:rsidRPr="0007068D">
              <w:rPr>
                <w:rFonts w:ascii="Calibri" w:hAnsi="Calibri" w:cs="Calibri"/>
              </w:rPr>
              <w:t>The Final Rule itself was shaped by extensive legal history, including the Congressional Review Act (CRA) disapproval of the 2020 Policy Rule (85 FR 57018), which had attempted to rescind methane standards</w:t>
            </w:r>
            <w:r>
              <w:rPr>
                <w:rFonts w:ascii="Calibri" w:hAnsi="Calibri" w:cs="Calibri"/>
              </w:rPr>
              <w:t xml:space="preserve"> (see page </w:t>
            </w:r>
            <w:r w:rsidRPr="0007068D">
              <w:rPr>
                <w:rFonts w:ascii="Calibri" w:hAnsi="Calibri" w:cs="Calibri"/>
              </w:rPr>
              <w:t>16827</w:t>
            </w:r>
            <w:r>
              <w:rPr>
                <w:rFonts w:ascii="Calibri" w:hAnsi="Calibri" w:cs="Calibri"/>
              </w:rPr>
              <w:t xml:space="preserve"> of the policy tool)</w:t>
            </w:r>
            <w:r w:rsidRPr="0007068D">
              <w:rPr>
                <w:rFonts w:ascii="Calibri" w:hAnsi="Calibri" w:cs="Calibri"/>
              </w:rPr>
              <w:t>.</w:t>
            </w:r>
            <w:r>
              <w:rPr>
                <w:rFonts w:ascii="Calibri" w:hAnsi="Calibri" w:cs="Calibri"/>
              </w:rPr>
              <w:t xml:space="preserve"> </w:t>
            </w:r>
            <w:r w:rsidRPr="0007068D">
              <w:rPr>
                <w:rFonts w:ascii="Calibri" w:hAnsi="Calibri" w:cs="Calibri"/>
              </w:rPr>
              <w:t>The CRA disapproval (Public Law 117–23) reinstated the 2016 NSPS OOOOa and affirmed EPA’s authority to regulate methane under CAA §111.</w:t>
            </w:r>
            <w:r>
              <w:rPr>
                <w:rFonts w:ascii="Calibri" w:hAnsi="Calibri" w:cs="Calibri"/>
              </w:rPr>
              <w:t xml:space="preserve"> The policy tool also references other legal proceedings that shaped its development, including</w:t>
            </w:r>
            <w:r w:rsidR="007D539D">
              <w:rPr>
                <w:rFonts w:ascii="Calibri" w:hAnsi="Calibri" w:cs="Calibri"/>
              </w:rPr>
              <w:t xml:space="preserve"> (see page </w:t>
            </w:r>
            <w:r w:rsidR="007D539D" w:rsidRPr="007D539D">
              <w:rPr>
                <w:rFonts w:ascii="Calibri" w:hAnsi="Calibri" w:cs="Calibri"/>
              </w:rPr>
              <w:t>16856</w:t>
            </w:r>
            <w:r w:rsidR="007D539D">
              <w:rPr>
                <w:rFonts w:ascii="Calibri" w:hAnsi="Calibri" w:cs="Calibri"/>
              </w:rPr>
              <w:t xml:space="preserve"> of the policy tool)</w:t>
            </w:r>
            <w:r>
              <w:rPr>
                <w:rFonts w:ascii="Calibri" w:hAnsi="Calibri" w:cs="Calibri"/>
              </w:rPr>
              <w:t>:</w:t>
            </w:r>
          </w:p>
          <w:p w14:paraId="7A987017" w14:textId="41384B72" w:rsidR="0007068D" w:rsidRPr="0007068D" w:rsidRDefault="0007068D" w:rsidP="0007068D">
            <w:pPr>
              <w:pStyle w:val="ListParagraph"/>
              <w:numPr>
                <w:ilvl w:val="0"/>
                <w:numId w:val="51"/>
              </w:numPr>
              <w:rPr>
                <w:rFonts w:ascii="Calibri" w:hAnsi="Calibri" w:cs="Calibri"/>
              </w:rPr>
            </w:pPr>
            <w:r w:rsidRPr="008F07DA">
              <w:rPr>
                <w:rFonts w:ascii="Calibri" w:hAnsi="Calibri" w:cs="Calibri"/>
                <w:i/>
                <w:iCs/>
              </w:rPr>
              <w:t>American Lung Association v. EPA</w:t>
            </w:r>
            <w:r w:rsidRPr="0007068D">
              <w:rPr>
                <w:rFonts w:ascii="Calibri" w:hAnsi="Calibri" w:cs="Calibri"/>
              </w:rPr>
              <w:t>, 985 F.3d 914 (D.C. Cir. 2021): This case vacated certain timing provisions in Subpart Ba, which governs state plan submissions under CAA §111(d). While it did not vacate the applicability provision, it directly influenced the structure of the Final Rule</w:t>
            </w:r>
            <w:r w:rsidR="007D539D">
              <w:rPr>
                <w:rFonts w:ascii="Calibri" w:hAnsi="Calibri" w:cs="Calibri"/>
              </w:rPr>
              <w:t>.</w:t>
            </w:r>
          </w:p>
          <w:p w14:paraId="4467EDC6" w14:textId="69B1C191" w:rsidR="0007068D" w:rsidRPr="008F07DA" w:rsidRDefault="0007068D" w:rsidP="008F07DA">
            <w:pPr>
              <w:pStyle w:val="ListParagraph"/>
              <w:numPr>
                <w:ilvl w:val="0"/>
                <w:numId w:val="51"/>
              </w:numPr>
              <w:rPr>
                <w:rFonts w:ascii="Calibri" w:hAnsi="Calibri" w:cs="Calibri"/>
              </w:rPr>
            </w:pPr>
            <w:r w:rsidRPr="008F07DA">
              <w:rPr>
                <w:rFonts w:ascii="Calibri" w:hAnsi="Calibri" w:cs="Calibri"/>
                <w:i/>
                <w:iCs/>
              </w:rPr>
              <w:t>Coalition for Responsible Regulation v. EPA</w:t>
            </w:r>
            <w:r w:rsidRPr="0007068D">
              <w:rPr>
                <w:rFonts w:ascii="Calibri" w:hAnsi="Calibri" w:cs="Calibri"/>
              </w:rPr>
              <w:t>, 684 F.3d 102 (D.C. Cir. 2012): This case upheld the EPA’s 2009 Endangerment Finding for greenhouse gases, which underpins the legal authority for regulating methane.</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7" w:name="_Toc198223640"/>
      <w:r>
        <w:rPr>
          <w:rFonts w:eastAsia="Arial"/>
        </w:rPr>
        <w:t xml:space="preserve">Section 6.2: </w:t>
      </w:r>
      <w:r w:rsidRPr="26567C6B">
        <w:rPr>
          <w:rFonts w:eastAsia="Arial"/>
        </w:rPr>
        <w:t>National targets</w:t>
      </w:r>
      <w:bookmarkEnd w:id="57"/>
      <w:r w:rsidRPr="26567C6B">
        <w:rPr>
          <w:rFonts w:eastAsia="Arial"/>
        </w:rPr>
        <w:t xml:space="preserve"> </w:t>
      </w:r>
    </w:p>
    <w:tbl>
      <w:tblPr>
        <w:tblStyle w:val="TableGrid"/>
        <w:tblW w:w="10435" w:type="dxa"/>
        <w:tblLook w:val="04A0" w:firstRow="1" w:lastRow="0" w:firstColumn="1" w:lastColumn="0" w:noHBand="0" w:noVBand="1"/>
      </w:tblPr>
      <w:tblGrid>
        <w:gridCol w:w="842"/>
        <w:gridCol w:w="4580"/>
        <w:gridCol w:w="1222"/>
        <w:gridCol w:w="3812"/>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51485485" w:rsidR="002F0752" w:rsidRPr="00CF2E7C" w:rsidRDefault="008F07DA"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5EDF4A35"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5E06CA0" w14:textId="2975FD4F" w:rsidR="008F07DA" w:rsidRDefault="006F2820" w:rsidP="003D3E92">
            <w:pPr>
              <w:rPr>
                <w:rFonts w:ascii="Calibri" w:hAnsi="Calibri" w:cs="Calibri"/>
              </w:rPr>
            </w:pPr>
            <w:r>
              <w:rPr>
                <w:rFonts w:ascii="Calibri" w:hAnsi="Calibri" w:cs="Calibri"/>
              </w:rPr>
              <w:t xml:space="preserve">The final NSPS OOOOb and EG OOOOc standards are projected to reduce 58 million short tons of methane emissions from 2024 to 2038, which represents a 79% reduction in projected emissions from the sources covered in NSPS OOOOb and EG OOOOc.  </w:t>
            </w:r>
          </w:p>
          <w:p w14:paraId="5402670F" w14:textId="6D8A4031" w:rsidR="006F2820" w:rsidRPr="00CF2E7C" w:rsidRDefault="006F2820" w:rsidP="003D3E92">
            <w:pPr>
              <w:rPr>
                <w:rFonts w:ascii="Calibri" w:hAnsi="Calibri" w:cs="Calibri"/>
              </w:rPr>
            </w:pPr>
            <w:hyperlink r:id="rId28" w:history="1">
              <w:r w:rsidRPr="007C2D12">
                <w:rPr>
                  <w:rStyle w:val="Hyperlink"/>
                  <w:rFonts w:ascii="Calibri" w:hAnsi="Calibri" w:cs="Calibri"/>
                </w:rPr>
                <w:t>https://web.archive.org/web/20250701172104/https://www.federalregister.gov/documents/2024/03/08/2024-00366/standards-of-performance-for-new-reconstructed-and-modified-sources-and-emissions-guidelines-for#p-633</w:t>
              </w:r>
            </w:hyperlink>
            <w:r>
              <w:rPr>
                <w:rFonts w:ascii="Calibri" w:hAnsi="Calibri" w:cs="Calibri"/>
              </w:rPr>
              <w:t xml:space="preserve"> </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635BBC01" w:rsidR="002F0752" w:rsidRPr="00CF2E7C" w:rsidRDefault="008F07DA" w:rsidP="00CF2E7C">
            <w:pPr>
              <w:rPr>
                <w:rFonts w:ascii="Calibri" w:hAnsi="Calibri" w:cs="Calibri"/>
              </w:rPr>
            </w:pPr>
            <w:r>
              <w:rPr>
                <w:rFonts w:ascii="Calibri" w:hAnsi="Calibri" w:cs="Calibri"/>
              </w:rPr>
              <w:t>X</w:t>
            </w: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lastRenderedPageBreak/>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64DACDCB" w:rsidR="002F0752" w:rsidRPr="00CF2E7C" w:rsidRDefault="00086F21" w:rsidP="00CF2E7C">
            <w:pPr>
              <w:rPr>
                <w:rFonts w:ascii="Calibri" w:hAnsi="Calibri" w:cs="Calibri"/>
              </w:rPr>
            </w:pPr>
            <w:r>
              <w:rPr>
                <w:rFonts w:ascii="Calibri" w:hAnsi="Calibri" w:cs="Calibri"/>
              </w:rPr>
              <w:t>X</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0F76F98" w14:textId="77777777" w:rsidR="002F0752" w:rsidRDefault="0021323F" w:rsidP="0021323F">
            <w:pPr>
              <w:rPr>
                <w:rFonts w:ascii="Calibri" w:hAnsi="Calibri" w:cs="Calibri"/>
              </w:rPr>
            </w:pPr>
            <w:r w:rsidRPr="0021323F">
              <w:rPr>
                <w:rFonts w:ascii="Calibri" w:hAnsi="Calibri" w:cs="Calibri"/>
              </w:rPr>
              <w:t>NSPS OOOOb applies to sources constructed, modified, or reconstructed after December 6, 2022.</w:t>
            </w:r>
            <w:r>
              <w:rPr>
                <w:rFonts w:ascii="Calibri" w:hAnsi="Calibri" w:cs="Calibri"/>
              </w:rPr>
              <w:t xml:space="preserve"> </w:t>
            </w:r>
            <w:r w:rsidRPr="0021323F">
              <w:rPr>
                <w:rFonts w:ascii="Calibri" w:hAnsi="Calibri" w:cs="Calibri"/>
              </w:rPr>
              <w:t>EG OOOOc applies to existing sources in operation on or before December 6, 2022.</w:t>
            </w:r>
            <w:r>
              <w:rPr>
                <w:rFonts w:ascii="Calibri" w:hAnsi="Calibri" w:cs="Calibri"/>
              </w:rPr>
              <w:t xml:space="preserve"> </w:t>
            </w:r>
            <w:r w:rsidRPr="0021323F">
              <w:rPr>
                <w:rFonts w:ascii="Calibri" w:hAnsi="Calibri" w:cs="Calibri"/>
              </w:rPr>
              <w:t>The Regulatory Impact Analysis (RIA) evaluates emissions reductions over the period 2024–2038, using 2024 as the first year of implementation and 2028 as the first year of EG compliance.</w:t>
            </w:r>
          </w:p>
          <w:p w14:paraId="0F76D2F1" w14:textId="76F18BCD" w:rsidR="0021323F" w:rsidRPr="00CF2E7C" w:rsidRDefault="0021323F" w:rsidP="0021323F">
            <w:pPr>
              <w:rPr>
                <w:rFonts w:ascii="Calibri" w:hAnsi="Calibri" w:cs="Calibri"/>
              </w:rPr>
            </w:pPr>
            <w:r>
              <w:rPr>
                <w:rFonts w:ascii="Calibri" w:hAnsi="Calibri" w:cs="Calibri"/>
              </w:rPr>
              <w:t xml:space="preserve">See Sections </w:t>
            </w:r>
            <w:r w:rsidRPr="0021323F">
              <w:rPr>
                <w:rFonts w:ascii="Calibri" w:hAnsi="Calibri" w:cs="Calibri"/>
              </w:rPr>
              <w:t>Section II.C</w:t>
            </w:r>
            <w:r>
              <w:rPr>
                <w:rFonts w:ascii="Calibri" w:hAnsi="Calibri" w:cs="Calibri"/>
              </w:rPr>
              <w:t xml:space="preserve">, </w:t>
            </w:r>
            <w:r w:rsidRPr="0021323F">
              <w:rPr>
                <w:rFonts w:ascii="Calibri" w:hAnsi="Calibri" w:cs="Calibri"/>
              </w:rPr>
              <w:t>Section III.B</w:t>
            </w:r>
            <w:r>
              <w:rPr>
                <w:rFonts w:ascii="Calibri" w:hAnsi="Calibri" w:cs="Calibri"/>
              </w:rPr>
              <w:t>, and Table 2.</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5AAF43C6" w:rsidR="002F0752" w:rsidRPr="00CF2E7C" w:rsidRDefault="006F2820" w:rsidP="00CF2E7C">
            <w:pPr>
              <w:rPr>
                <w:rFonts w:ascii="Calibri" w:hAnsi="Calibri" w:cs="Calibri"/>
              </w:rPr>
            </w:pPr>
            <w:r>
              <w:rPr>
                <w:rFonts w:ascii="Calibri" w:hAnsi="Calibri" w:cs="Calibri"/>
              </w:rPr>
              <w:t>X</w:t>
            </w: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10C7D9DA"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31F1B8B1"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8" w:name="_Toc198223641"/>
      <w:r>
        <w:rPr>
          <w:rFonts w:eastAsia="Arial"/>
        </w:rPr>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B327802" w:rsidR="002F0752" w:rsidRPr="00CF2E7C" w:rsidRDefault="00F71FD6"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lastRenderedPageBreak/>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9" w:name="_Toc198223642"/>
      <w:r>
        <w:rPr>
          <w:rFonts w:eastAsia="Arial"/>
        </w:rPr>
        <w:lastRenderedPageBreak/>
        <w:t xml:space="preserve">Section 6.4: </w:t>
      </w:r>
      <w:r w:rsidRPr="26567C6B">
        <w:rPr>
          <w:rFonts w:eastAsia="Arial"/>
        </w:rPr>
        <w:t>Source-specific rules</w:t>
      </w:r>
      <w:bookmarkEnd w:id="5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65F79AA0" w:rsidR="002F0752" w:rsidRPr="33822AF7" w:rsidRDefault="00F71FD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082FA191" w:rsidR="002F0752" w:rsidRPr="00CF2E7C" w:rsidRDefault="0078562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AA86C19" w14:textId="2DF1FF24" w:rsidR="00785626" w:rsidRPr="00785626" w:rsidRDefault="00785626" w:rsidP="00785626">
            <w:pPr>
              <w:rPr>
                <w:rFonts w:ascii="Calibri" w:eastAsia="Calibri" w:hAnsi="Calibri" w:cs="Calibri"/>
                <w:color w:val="000000" w:themeColor="text1"/>
              </w:rPr>
            </w:pPr>
            <w:r w:rsidRPr="006F2820">
              <w:rPr>
                <w:rFonts w:ascii="Calibri" w:eastAsia="Calibri" w:hAnsi="Calibri" w:cs="Calibri"/>
                <w:color w:val="000000" w:themeColor="text1"/>
                <w:u w:val="single"/>
              </w:rPr>
              <w:t>Optical Gas Imaging (OGI)</w:t>
            </w:r>
            <w:r w:rsidRPr="00785626">
              <w:rPr>
                <w:rFonts w:ascii="Calibri" w:eastAsia="Calibri" w:hAnsi="Calibri" w:cs="Calibri"/>
                <w:color w:val="000000" w:themeColor="text1"/>
              </w:rPr>
              <w:t xml:space="preserve">: </w:t>
            </w:r>
            <w:r w:rsidR="006F2820">
              <w:rPr>
                <w:rFonts w:ascii="Calibri" w:eastAsia="Calibri" w:hAnsi="Calibri" w:cs="Calibri"/>
                <w:color w:val="000000" w:themeColor="text1"/>
              </w:rPr>
              <w:t xml:space="preserve"> </w:t>
            </w:r>
            <w:r w:rsidRPr="00785626">
              <w:rPr>
                <w:rFonts w:ascii="Calibri" w:eastAsia="Calibri" w:hAnsi="Calibri" w:cs="Calibri"/>
                <w:color w:val="000000" w:themeColor="text1"/>
              </w:rPr>
              <w:t>The rule finalizes Appendix K, which establishes a standardized protocol for using OGI technologies for leak detection at natural gas processing plants and other sources</w:t>
            </w:r>
            <w:r>
              <w:rPr>
                <w:rFonts w:ascii="Calibri" w:eastAsia="Calibri" w:hAnsi="Calibri" w:cs="Calibri"/>
                <w:color w:val="000000" w:themeColor="text1"/>
              </w:rPr>
              <w:t xml:space="preserve"> (</w:t>
            </w:r>
            <w:r w:rsidRPr="00785626">
              <w:rPr>
                <w:rFonts w:ascii="Calibri" w:eastAsia="Calibri" w:hAnsi="Calibri" w:cs="Calibri"/>
                <w:color w:val="000000" w:themeColor="text1"/>
              </w:rPr>
              <w:t>Section XIV</w:t>
            </w:r>
            <w:r>
              <w:rPr>
                <w:rFonts w:ascii="Calibri" w:eastAsia="Calibri" w:hAnsi="Calibri" w:cs="Calibri"/>
                <w:color w:val="000000" w:themeColor="text1"/>
              </w:rPr>
              <w:t>).</w:t>
            </w:r>
          </w:p>
          <w:p w14:paraId="3A47D9B8" w14:textId="004D3B8B" w:rsidR="00785626" w:rsidRPr="00785626" w:rsidRDefault="00785626" w:rsidP="00785626">
            <w:pPr>
              <w:rPr>
                <w:rFonts w:ascii="Calibri" w:eastAsia="Calibri" w:hAnsi="Calibri" w:cs="Calibri"/>
                <w:color w:val="000000" w:themeColor="text1"/>
              </w:rPr>
            </w:pPr>
            <w:r w:rsidRPr="006F2820">
              <w:rPr>
                <w:rFonts w:ascii="Calibri" w:eastAsia="Calibri" w:hAnsi="Calibri" w:cs="Calibri"/>
                <w:color w:val="000000" w:themeColor="text1"/>
                <w:u w:val="single"/>
              </w:rPr>
              <w:t>Advanced Methane Detection Technology</w:t>
            </w:r>
            <w:r w:rsidRPr="00785626">
              <w:rPr>
                <w:rFonts w:ascii="Calibri" w:eastAsia="Calibri" w:hAnsi="Calibri" w:cs="Calibri"/>
                <w:color w:val="000000" w:themeColor="text1"/>
              </w:rPr>
              <w:t xml:space="preserve">: </w:t>
            </w:r>
            <w:r w:rsidR="006F2820">
              <w:rPr>
                <w:rFonts w:ascii="Calibri" w:eastAsia="Calibri" w:hAnsi="Calibri" w:cs="Calibri"/>
                <w:color w:val="000000" w:themeColor="text1"/>
              </w:rPr>
              <w:t xml:space="preserve"> </w:t>
            </w:r>
            <w:r w:rsidRPr="00785626">
              <w:rPr>
                <w:rFonts w:ascii="Calibri" w:eastAsia="Calibri" w:hAnsi="Calibri" w:cs="Calibri"/>
                <w:color w:val="000000" w:themeColor="text1"/>
              </w:rPr>
              <w:t>The rule allows for the use of alternative technologies (e.g. continuous monitoring systems, aerial surveys, satellite-based detection) under defined performance criteria</w:t>
            </w:r>
            <w:r>
              <w:rPr>
                <w:rFonts w:ascii="Calibri" w:eastAsia="Calibri" w:hAnsi="Calibri" w:cs="Calibri"/>
                <w:color w:val="000000" w:themeColor="text1"/>
              </w:rPr>
              <w:t xml:space="preserve"> (</w:t>
            </w:r>
            <w:r w:rsidRPr="00785626">
              <w:rPr>
                <w:rFonts w:ascii="Calibri" w:eastAsia="Calibri" w:hAnsi="Calibri" w:cs="Calibri"/>
                <w:color w:val="000000" w:themeColor="text1"/>
              </w:rPr>
              <w:t>Section X.B</w:t>
            </w:r>
            <w:r>
              <w:rPr>
                <w:rFonts w:ascii="Calibri" w:eastAsia="Calibri" w:hAnsi="Calibri" w:cs="Calibri"/>
                <w:color w:val="000000" w:themeColor="text1"/>
              </w:rPr>
              <w:t>).</w:t>
            </w:r>
          </w:p>
          <w:p w14:paraId="71782B20" w14:textId="53FF32D0" w:rsidR="00785626" w:rsidRPr="00785626" w:rsidRDefault="00785626" w:rsidP="00785626">
            <w:pPr>
              <w:rPr>
                <w:rFonts w:ascii="Calibri" w:eastAsia="Calibri" w:hAnsi="Calibri" w:cs="Calibri"/>
                <w:color w:val="000000" w:themeColor="text1"/>
              </w:rPr>
            </w:pPr>
            <w:r w:rsidRPr="006F2820">
              <w:rPr>
                <w:rFonts w:ascii="Calibri" w:eastAsia="Calibri" w:hAnsi="Calibri" w:cs="Calibri"/>
                <w:color w:val="000000" w:themeColor="text1"/>
                <w:u w:val="single"/>
              </w:rPr>
              <w:t>Super-Emitter Response Program</w:t>
            </w:r>
            <w:r w:rsidRPr="00785626">
              <w:rPr>
                <w:rFonts w:ascii="Calibri" w:eastAsia="Calibri" w:hAnsi="Calibri" w:cs="Calibri"/>
                <w:color w:val="000000" w:themeColor="text1"/>
              </w:rPr>
              <w:t xml:space="preserve">: </w:t>
            </w:r>
            <w:r w:rsidR="006F2820">
              <w:rPr>
                <w:rFonts w:ascii="Calibri" w:eastAsia="Calibri" w:hAnsi="Calibri" w:cs="Calibri"/>
                <w:color w:val="000000" w:themeColor="text1"/>
              </w:rPr>
              <w:t xml:space="preserve"> </w:t>
            </w:r>
            <w:r w:rsidR="00F044B9">
              <w:rPr>
                <w:rFonts w:ascii="Calibri" w:eastAsia="Calibri" w:hAnsi="Calibri" w:cs="Calibri"/>
                <w:color w:val="000000" w:themeColor="text1"/>
              </w:rPr>
              <w:t>The rule r</w:t>
            </w:r>
            <w:r w:rsidRPr="00785626">
              <w:rPr>
                <w:rFonts w:ascii="Calibri" w:eastAsia="Calibri" w:hAnsi="Calibri" w:cs="Calibri"/>
                <w:color w:val="000000" w:themeColor="text1"/>
              </w:rPr>
              <w:t>equires operators to investigate and respond to third-party certified detections of large methane emissions (≥100 kg/h</w:t>
            </w:r>
            <w:r w:rsidR="00F044B9">
              <w:rPr>
                <w:rFonts w:ascii="Calibri" w:eastAsia="Calibri" w:hAnsi="Calibri" w:cs="Calibri"/>
                <w:color w:val="000000" w:themeColor="text1"/>
              </w:rPr>
              <w:t>ou</w:t>
            </w:r>
            <w:r w:rsidRPr="00785626">
              <w:rPr>
                <w:rFonts w:ascii="Calibri" w:eastAsia="Calibri" w:hAnsi="Calibri" w:cs="Calibri"/>
                <w:color w:val="000000" w:themeColor="text1"/>
              </w:rPr>
              <w:t>r), using approved measurement protocols</w:t>
            </w:r>
            <w:r>
              <w:rPr>
                <w:rFonts w:ascii="Calibri" w:eastAsia="Calibri" w:hAnsi="Calibri" w:cs="Calibri"/>
                <w:color w:val="000000" w:themeColor="text1"/>
              </w:rPr>
              <w:t xml:space="preserve"> (</w:t>
            </w:r>
            <w:r w:rsidRPr="00785626">
              <w:rPr>
                <w:rFonts w:ascii="Calibri" w:eastAsia="Calibri" w:hAnsi="Calibri" w:cs="Calibri"/>
                <w:color w:val="000000" w:themeColor="text1"/>
              </w:rPr>
              <w:t>Section X.B and X.C</w:t>
            </w:r>
            <w:r>
              <w:rPr>
                <w:rFonts w:ascii="Calibri" w:eastAsia="Calibri" w:hAnsi="Calibri" w:cs="Calibri"/>
                <w:color w:val="000000" w:themeColor="text1"/>
              </w:rPr>
              <w:t>).</w:t>
            </w:r>
          </w:p>
          <w:p w14:paraId="40161F5A" w14:textId="5DFD2848" w:rsidR="002F0752" w:rsidRPr="00CF2E7C" w:rsidRDefault="00785626" w:rsidP="00785626">
            <w:pPr>
              <w:rPr>
                <w:rFonts w:ascii="Calibri" w:eastAsia="Calibri" w:hAnsi="Calibri" w:cs="Calibri"/>
                <w:color w:val="000000" w:themeColor="text1"/>
              </w:rPr>
            </w:pPr>
            <w:r w:rsidRPr="006F2820">
              <w:rPr>
                <w:rFonts w:ascii="Calibri" w:eastAsia="Calibri" w:hAnsi="Calibri" w:cs="Calibri"/>
                <w:color w:val="000000" w:themeColor="text1"/>
                <w:u w:val="single"/>
              </w:rPr>
              <w:t>Fugitive Emissions Monitoring</w:t>
            </w:r>
            <w:r w:rsidRPr="00785626">
              <w:rPr>
                <w:rFonts w:ascii="Calibri" w:eastAsia="Calibri" w:hAnsi="Calibri" w:cs="Calibri"/>
                <w:color w:val="000000" w:themeColor="text1"/>
              </w:rPr>
              <w:t xml:space="preserve">: </w:t>
            </w:r>
            <w:r w:rsidR="006F2820">
              <w:rPr>
                <w:rFonts w:ascii="Calibri" w:eastAsia="Calibri" w:hAnsi="Calibri" w:cs="Calibri"/>
                <w:color w:val="000000" w:themeColor="text1"/>
              </w:rPr>
              <w:t xml:space="preserve"> </w:t>
            </w:r>
            <w:r w:rsidRPr="00785626">
              <w:rPr>
                <w:rFonts w:ascii="Calibri" w:eastAsia="Calibri" w:hAnsi="Calibri" w:cs="Calibri"/>
                <w:color w:val="000000" w:themeColor="text1"/>
              </w:rPr>
              <w:t>Specifies monitoring frequencies (e.g. quarterly, semiannual) and repair timelines, with detailed procedures for leak detection and repair (LDAR)</w:t>
            </w:r>
            <w:r w:rsidR="00F044B9">
              <w:rPr>
                <w:rFonts w:ascii="Calibri" w:eastAsia="Calibri" w:hAnsi="Calibri" w:cs="Calibri"/>
                <w:color w:val="000000" w:themeColor="text1"/>
              </w:rPr>
              <w:t xml:space="preserve"> (</w:t>
            </w:r>
            <w:r w:rsidR="00F044B9" w:rsidRPr="00F044B9">
              <w:rPr>
                <w:rFonts w:ascii="Calibri" w:eastAsia="Calibri" w:hAnsi="Calibri" w:cs="Calibri"/>
                <w:color w:val="000000" w:themeColor="text1"/>
              </w:rPr>
              <w:t>Section X.A</w:t>
            </w:r>
            <w:r w:rsidR="00F044B9">
              <w:rPr>
                <w:rFonts w:ascii="Calibri" w:eastAsia="Calibri" w:hAnsi="Calibri" w:cs="Calibri"/>
                <w:color w:val="000000" w:themeColor="text1"/>
              </w:rPr>
              <w:t>)</w:t>
            </w:r>
            <w:r w:rsidRPr="00785626">
              <w:rPr>
                <w:rFonts w:ascii="Calibri" w:eastAsia="Calibri" w:hAnsi="Calibri" w:cs="Calibri"/>
                <w:color w:val="000000" w:themeColor="text1"/>
              </w:rPr>
              <w: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55D0270F" w:rsidR="002F0752" w:rsidRPr="00CF2E7C" w:rsidRDefault="0007065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2D77414B" w:rsidR="002F0752" w:rsidRPr="00CF2E7C" w:rsidRDefault="0007065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5310A1BA" w:rsidR="002F0752" w:rsidRPr="00CF2E7C" w:rsidRDefault="0007065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40194159" w:rsidR="002F0752" w:rsidRPr="00CF2E7C" w:rsidRDefault="0007065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37D5D209" w:rsidR="002F0752" w:rsidRPr="00CF2E7C" w:rsidRDefault="006F282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20E76FD9" w:rsidR="002F0752" w:rsidRPr="00CF2E7C" w:rsidRDefault="006F282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39AEF3F0" w:rsidR="002F0752" w:rsidRPr="00CF2E7C" w:rsidRDefault="004F5DA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07D1072C" w:rsidR="002F0752" w:rsidRPr="00CF2E7C" w:rsidRDefault="004F5DA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90CD34F" w:rsidR="002F0752" w:rsidRPr="00CF2E7C" w:rsidRDefault="004F5DA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C1383F8" w:rsidR="002F0752" w:rsidRPr="00CF2E7C" w:rsidRDefault="004F5DA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1C77B76" w:rsidR="002F0752" w:rsidRPr="00CF2E7C" w:rsidRDefault="004F5DA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0CD86471" w:rsidR="002F0752" w:rsidRPr="00CF2E7C" w:rsidRDefault="004F5DA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5A48396" w14:textId="69BAA3BB" w:rsidR="004F5DA1" w:rsidRPr="004F5DA1" w:rsidRDefault="004F5DA1" w:rsidP="004F5DA1">
            <w:pPr>
              <w:rPr>
                <w:rFonts w:ascii="Calibri" w:eastAsia="Calibri" w:hAnsi="Calibri" w:cs="Calibri"/>
                <w:color w:val="000000" w:themeColor="text1"/>
              </w:rPr>
            </w:pPr>
            <w:r w:rsidRPr="006F2820">
              <w:rPr>
                <w:rFonts w:ascii="Calibri" w:eastAsia="Calibri" w:hAnsi="Calibri" w:cs="Calibri"/>
                <w:color w:val="000000" w:themeColor="text1"/>
                <w:u w:val="single"/>
              </w:rPr>
              <w:t>Public Disclosure of Facility-Level Emissions</w:t>
            </w:r>
            <w:r>
              <w:rPr>
                <w:rFonts w:ascii="Calibri" w:eastAsia="Calibri" w:hAnsi="Calibri" w:cs="Calibri"/>
                <w:color w:val="000000" w:themeColor="text1"/>
              </w:rPr>
              <w:t>:</w:t>
            </w:r>
            <w:r w:rsidR="006F2820">
              <w:rPr>
                <w:rFonts w:ascii="Calibri" w:eastAsia="Calibri" w:hAnsi="Calibri" w:cs="Calibri"/>
                <w:color w:val="000000" w:themeColor="text1"/>
              </w:rPr>
              <w:t xml:space="preserve"> </w:t>
            </w:r>
            <w:r>
              <w:rPr>
                <w:rFonts w:ascii="Calibri" w:eastAsia="Calibri" w:hAnsi="Calibri" w:cs="Calibri"/>
                <w:color w:val="000000" w:themeColor="text1"/>
              </w:rPr>
              <w:t xml:space="preserve"> R</w:t>
            </w:r>
            <w:r w:rsidRPr="004F5DA1">
              <w:rPr>
                <w:rFonts w:ascii="Calibri" w:eastAsia="Calibri" w:hAnsi="Calibri" w:cs="Calibri"/>
                <w:color w:val="000000" w:themeColor="text1"/>
              </w:rPr>
              <w:t>equired under the Greenhouse Gas Reporting Program (GHGRP), 40 CFR Part 98, Subpart W. Facilities emitting &gt;25,000 metric tons C</w:t>
            </w:r>
            <w:r>
              <w:rPr>
                <w:rFonts w:ascii="Calibri" w:eastAsia="Calibri" w:hAnsi="Calibri" w:cs="Calibri"/>
                <w:color w:val="000000" w:themeColor="text1"/>
              </w:rPr>
              <w:t>O2</w:t>
            </w:r>
            <w:r w:rsidRPr="004F5DA1">
              <w:rPr>
                <w:rFonts w:ascii="Calibri" w:eastAsia="Calibri" w:hAnsi="Calibri" w:cs="Calibri"/>
                <w:color w:val="000000" w:themeColor="text1"/>
              </w:rPr>
              <w:t>e/year must report emissions publicly via EPA’s CEDRI platform (Section XIV and Section VI.C.).</w:t>
            </w:r>
          </w:p>
          <w:p w14:paraId="327C3E24" w14:textId="77777777" w:rsidR="002F0752" w:rsidRDefault="004F5DA1" w:rsidP="004F5DA1">
            <w:pPr>
              <w:rPr>
                <w:rFonts w:ascii="Calibri" w:eastAsia="Calibri" w:hAnsi="Calibri" w:cs="Calibri"/>
                <w:color w:val="000000" w:themeColor="text1"/>
              </w:rPr>
            </w:pPr>
            <w:r w:rsidRPr="006F2820">
              <w:rPr>
                <w:rFonts w:ascii="Calibri" w:eastAsia="Calibri" w:hAnsi="Calibri" w:cs="Calibri"/>
                <w:color w:val="000000" w:themeColor="text1"/>
                <w:u w:val="single"/>
              </w:rPr>
              <w:t>Public Disclosure of Methodologies</w:t>
            </w:r>
            <w:r>
              <w:rPr>
                <w:rFonts w:ascii="Calibri" w:eastAsia="Calibri" w:hAnsi="Calibri" w:cs="Calibri"/>
                <w:color w:val="000000" w:themeColor="text1"/>
              </w:rPr>
              <w:t xml:space="preserve">: </w:t>
            </w:r>
            <w:r w:rsidRPr="004F5DA1">
              <w:rPr>
                <w:rFonts w:ascii="Calibri" w:eastAsia="Calibri" w:hAnsi="Calibri" w:cs="Calibri"/>
                <w:color w:val="000000" w:themeColor="text1"/>
              </w:rPr>
              <w:t>The Final Rule mandates use of standardized protocols, including</w:t>
            </w:r>
            <w:r>
              <w:rPr>
                <w:rFonts w:ascii="Calibri" w:eastAsia="Calibri" w:hAnsi="Calibri" w:cs="Calibri"/>
                <w:color w:val="000000" w:themeColor="text1"/>
              </w:rPr>
              <w:t xml:space="preserve"> </w:t>
            </w:r>
            <w:r w:rsidRPr="004F5DA1">
              <w:rPr>
                <w:rFonts w:ascii="Calibri" w:eastAsia="Calibri" w:hAnsi="Calibri" w:cs="Calibri"/>
                <w:color w:val="000000" w:themeColor="text1"/>
              </w:rPr>
              <w:t>Appendix K for Optical Gas Imaging (OGI)</w:t>
            </w:r>
            <w:r>
              <w:rPr>
                <w:rFonts w:ascii="Calibri" w:eastAsia="Calibri" w:hAnsi="Calibri" w:cs="Calibri"/>
                <w:color w:val="000000" w:themeColor="text1"/>
              </w:rPr>
              <w:t xml:space="preserve"> and p</w:t>
            </w:r>
            <w:r w:rsidRPr="004F5DA1">
              <w:rPr>
                <w:rFonts w:ascii="Calibri" w:eastAsia="Calibri" w:hAnsi="Calibri" w:cs="Calibri"/>
                <w:color w:val="000000" w:themeColor="text1"/>
              </w:rPr>
              <w:t>erformance criteria for advanced detection technologie</w:t>
            </w:r>
            <w:r>
              <w:rPr>
                <w:rFonts w:ascii="Calibri" w:eastAsia="Calibri" w:hAnsi="Calibri" w:cs="Calibri"/>
                <w:color w:val="000000" w:themeColor="text1"/>
              </w:rPr>
              <w:t xml:space="preserve">s. </w:t>
            </w:r>
            <w:r w:rsidRPr="004F5DA1">
              <w:rPr>
                <w:rFonts w:ascii="Calibri" w:eastAsia="Calibri" w:hAnsi="Calibri" w:cs="Calibri"/>
                <w:color w:val="000000" w:themeColor="text1"/>
              </w:rPr>
              <w:t>These methodologies are publicly available and incorporated by reference</w:t>
            </w:r>
            <w:r>
              <w:rPr>
                <w:rFonts w:ascii="Calibri" w:eastAsia="Calibri" w:hAnsi="Calibri" w:cs="Calibri"/>
                <w:color w:val="000000" w:themeColor="text1"/>
              </w:rPr>
              <w:t xml:space="preserve"> (</w:t>
            </w:r>
            <w:r w:rsidRPr="004F5DA1">
              <w:rPr>
                <w:rFonts w:ascii="Calibri" w:eastAsia="Calibri" w:hAnsi="Calibri" w:cs="Calibri"/>
                <w:color w:val="000000" w:themeColor="text1"/>
              </w:rPr>
              <w:t>Section XIV (Appendix K) and Section X.B.</w:t>
            </w:r>
            <w:r>
              <w:rPr>
                <w:rFonts w:ascii="Calibri" w:eastAsia="Calibri" w:hAnsi="Calibri" w:cs="Calibri"/>
                <w:color w:val="000000" w:themeColor="text1"/>
              </w:rPr>
              <w:t>)</w:t>
            </w:r>
          </w:p>
          <w:p w14:paraId="24136F15" w14:textId="77777777" w:rsidR="004F5DA1" w:rsidRDefault="004F5DA1" w:rsidP="004F5DA1">
            <w:pPr>
              <w:rPr>
                <w:rFonts w:ascii="Calibri" w:eastAsia="Calibri" w:hAnsi="Calibri" w:cs="Calibri"/>
                <w:color w:val="000000" w:themeColor="text1"/>
              </w:rPr>
            </w:pPr>
            <w:r w:rsidRPr="006F2820">
              <w:rPr>
                <w:rFonts w:ascii="Calibri" w:eastAsia="Calibri" w:hAnsi="Calibri" w:cs="Calibri"/>
                <w:color w:val="000000" w:themeColor="text1"/>
                <w:u w:val="single"/>
              </w:rPr>
              <w:t>Third Party Measurement of Emissions</w:t>
            </w:r>
            <w:r>
              <w:rPr>
                <w:rFonts w:ascii="Calibri" w:eastAsia="Calibri" w:hAnsi="Calibri" w:cs="Calibri"/>
                <w:color w:val="000000" w:themeColor="text1"/>
              </w:rPr>
              <w:t xml:space="preserve">: </w:t>
            </w:r>
            <w:r w:rsidRPr="004F5DA1">
              <w:rPr>
                <w:rFonts w:ascii="Calibri" w:eastAsia="Calibri" w:hAnsi="Calibri" w:cs="Calibri"/>
                <w:color w:val="000000" w:themeColor="text1"/>
              </w:rPr>
              <w:t>Required under the Super-Emitter Response Program</w:t>
            </w:r>
            <w:r>
              <w:rPr>
                <w:rFonts w:ascii="Calibri" w:eastAsia="Calibri" w:hAnsi="Calibri" w:cs="Calibri"/>
                <w:color w:val="000000" w:themeColor="text1"/>
              </w:rPr>
              <w:t xml:space="preserve">. </w:t>
            </w:r>
            <w:r w:rsidRPr="004F5DA1">
              <w:rPr>
                <w:rFonts w:ascii="Calibri" w:eastAsia="Calibri" w:hAnsi="Calibri" w:cs="Calibri"/>
                <w:color w:val="000000" w:themeColor="text1"/>
              </w:rPr>
              <w:t>EPA-certified third parties (e.g., using satellite, aerial, or drone-based systems) can detect and report large methane releases (≥100 kg/hr).</w:t>
            </w:r>
            <w:r>
              <w:rPr>
                <w:rFonts w:ascii="Calibri" w:eastAsia="Calibri" w:hAnsi="Calibri" w:cs="Calibri"/>
                <w:color w:val="000000" w:themeColor="text1"/>
              </w:rPr>
              <w:t xml:space="preserve"> </w:t>
            </w:r>
            <w:r w:rsidRPr="004F5DA1">
              <w:rPr>
                <w:rFonts w:ascii="Calibri" w:eastAsia="Calibri" w:hAnsi="Calibri" w:cs="Calibri"/>
                <w:color w:val="000000" w:themeColor="text1"/>
              </w:rPr>
              <w:t>Operators must investigate and respond to these notifications</w:t>
            </w:r>
            <w:r>
              <w:rPr>
                <w:rFonts w:ascii="Calibri" w:eastAsia="Calibri" w:hAnsi="Calibri" w:cs="Calibri"/>
                <w:color w:val="000000" w:themeColor="text1"/>
              </w:rPr>
              <w:t xml:space="preserve"> (</w:t>
            </w:r>
            <w:r w:rsidRPr="004F5DA1">
              <w:rPr>
                <w:rFonts w:ascii="Calibri" w:eastAsia="Calibri" w:hAnsi="Calibri" w:cs="Calibri"/>
                <w:color w:val="000000" w:themeColor="text1"/>
              </w:rPr>
              <w:t>Section X.C.</w:t>
            </w:r>
            <w:r>
              <w:rPr>
                <w:rFonts w:ascii="Calibri" w:eastAsia="Calibri" w:hAnsi="Calibri" w:cs="Calibri"/>
                <w:color w:val="000000" w:themeColor="text1"/>
              </w:rPr>
              <w:t>)</w:t>
            </w:r>
          </w:p>
          <w:p w14:paraId="523BCF93" w14:textId="5DD75A8D" w:rsidR="004F5DA1" w:rsidRPr="004F5DA1" w:rsidRDefault="004F5DA1" w:rsidP="004F5DA1">
            <w:pPr>
              <w:rPr>
                <w:rFonts w:ascii="Calibri" w:eastAsia="Calibri" w:hAnsi="Calibri" w:cs="Calibri"/>
                <w:color w:val="000000" w:themeColor="text1"/>
              </w:rPr>
            </w:pPr>
            <w:r w:rsidRPr="006F2820">
              <w:rPr>
                <w:rFonts w:ascii="Calibri" w:eastAsia="Calibri" w:hAnsi="Calibri" w:cs="Calibri"/>
                <w:color w:val="000000" w:themeColor="text1"/>
                <w:u w:val="single"/>
              </w:rPr>
              <w:t>Technologies for Monitoring/Measurement</w:t>
            </w:r>
            <w:r>
              <w:rPr>
                <w:rFonts w:ascii="Calibri" w:eastAsia="Calibri" w:hAnsi="Calibri" w:cs="Calibri"/>
                <w:color w:val="000000" w:themeColor="text1"/>
              </w:rPr>
              <w:t xml:space="preserve">: </w:t>
            </w:r>
            <w:r w:rsidRPr="004F5DA1">
              <w:rPr>
                <w:rFonts w:ascii="Calibri" w:eastAsia="Calibri" w:hAnsi="Calibri" w:cs="Calibri"/>
                <w:color w:val="000000" w:themeColor="text1"/>
              </w:rPr>
              <w:t xml:space="preserve">The </w:t>
            </w:r>
            <w:r w:rsidR="006F2820">
              <w:rPr>
                <w:rFonts w:ascii="Calibri" w:eastAsia="Calibri" w:hAnsi="Calibri" w:cs="Calibri"/>
                <w:color w:val="000000" w:themeColor="text1"/>
              </w:rPr>
              <w:t>Rule</w:t>
            </w:r>
            <w:r w:rsidRPr="004F5DA1">
              <w:rPr>
                <w:rFonts w:ascii="Calibri" w:eastAsia="Calibri" w:hAnsi="Calibri" w:cs="Calibri"/>
                <w:color w:val="000000" w:themeColor="text1"/>
              </w:rPr>
              <w:t xml:space="preserve"> explicitly allows and encourages use of</w:t>
            </w:r>
            <w:r>
              <w:rPr>
                <w:rFonts w:ascii="Calibri" w:eastAsia="Calibri" w:hAnsi="Calibri" w:cs="Calibri"/>
                <w:color w:val="000000" w:themeColor="text1"/>
              </w:rPr>
              <w:t xml:space="preserve"> s</w:t>
            </w:r>
            <w:r w:rsidRPr="004F5DA1">
              <w:rPr>
                <w:rFonts w:ascii="Calibri" w:eastAsia="Calibri" w:hAnsi="Calibri" w:cs="Calibri"/>
                <w:color w:val="000000" w:themeColor="text1"/>
              </w:rPr>
              <w:t>atellites</w:t>
            </w:r>
            <w:r>
              <w:rPr>
                <w:rFonts w:ascii="Calibri" w:eastAsia="Calibri" w:hAnsi="Calibri" w:cs="Calibri"/>
                <w:color w:val="000000" w:themeColor="text1"/>
              </w:rPr>
              <w:t>, s</w:t>
            </w:r>
            <w:r w:rsidRPr="004F5DA1">
              <w:rPr>
                <w:rFonts w:ascii="Calibri" w:eastAsia="Calibri" w:hAnsi="Calibri" w:cs="Calibri"/>
                <w:color w:val="000000" w:themeColor="text1"/>
              </w:rPr>
              <w:t>erial surveys</w:t>
            </w:r>
            <w:r>
              <w:rPr>
                <w:rFonts w:ascii="Calibri" w:eastAsia="Calibri" w:hAnsi="Calibri" w:cs="Calibri"/>
                <w:color w:val="000000" w:themeColor="text1"/>
              </w:rPr>
              <w:t>, and c</w:t>
            </w:r>
            <w:r w:rsidRPr="004F5DA1">
              <w:rPr>
                <w:rFonts w:ascii="Calibri" w:eastAsia="Calibri" w:hAnsi="Calibri" w:cs="Calibri"/>
                <w:color w:val="000000" w:themeColor="text1"/>
              </w:rPr>
              <w:t>ontinuous monitoring system</w:t>
            </w:r>
            <w:r>
              <w:rPr>
                <w:rFonts w:ascii="Calibri" w:eastAsia="Calibri" w:hAnsi="Calibri" w:cs="Calibri"/>
                <w:color w:val="000000" w:themeColor="text1"/>
              </w:rPr>
              <w:t xml:space="preserve">s, which </w:t>
            </w:r>
            <w:r w:rsidRPr="004F5DA1">
              <w:rPr>
                <w:rFonts w:ascii="Calibri" w:eastAsia="Calibri" w:hAnsi="Calibri" w:cs="Calibri"/>
                <w:color w:val="000000" w:themeColor="text1"/>
              </w:rPr>
              <w:t>are subject to EPA performance standards and approval</w:t>
            </w:r>
            <w:r>
              <w:rPr>
                <w:rFonts w:ascii="Calibri" w:eastAsia="Calibri" w:hAnsi="Calibri" w:cs="Calibri"/>
                <w:color w:val="000000" w:themeColor="text1"/>
              </w:rPr>
              <w:t xml:space="preserve"> (</w:t>
            </w:r>
            <w:r w:rsidRPr="004F5DA1">
              <w:rPr>
                <w:rFonts w:ascii="Calibri" w:eastAsia="Calibri" w:hAnsi="Calibri" w:cs="Calibri"/>
                <w:color w:val="000000" w:themeColor="text1"/>
              </w:rPr>
              <w:t>Section X.B and Section XIV</w:t>
            </w:r>
            <w:r>
              <w:rPr>
                <w:rFonts w:ascii="Calibri" w:eastAsia="Calibri" w:hAnsi="Calibri" w:cs="Calibri"/>
                <w:color w:val="000000" w:themeColor="text1"/>
              </w:rPr>
              <w:t>).</w:t>
            </w:r>
          </w:p>
          <w:p w14:paraId="47C1DBE1" w14:textId="2E4DE462" w:rsidR="004F5DA1" w:rsidRPr="00CF2E7C" w:rsidRDefault="004F5DA1" w:rsidP="004F5DA1">
            <w:pPr>
              <w:rPr>
                <w:rFonts w:ascii="Calibri" w:eastAsia="Calibri" w:hAnsi="Calibri" w:cs="Calibri"/>
                <w:color w:val="000000" w:themeColor="text1"/>
              </w:rPr>
            </w:pPr>
            <w:r>
              <w:rPr>
                <w:rFonts w:ascii="Segoe UI Emoji" w:eastAsia="Calibri" w:hAnsi="Segoe UI Emoji" w:cs="Segoe UI Emoji"/>
                <w:color w:val="000000" w:themeColor="text1"/>
              </w:rPr>
              <w:t>The</w:t>
            </w:r>
            <w:r w:rsidRPr="004F5DA1">
              <w:rPr>
                <w:rFonts w:ascii="Calibri" w:eastAsia="Calibri" w:hAnsi="Calibri" w:cs="Calibri"/>
                <w:color w:val="000000" w:themeColor="text1"/>
              </w:rPr>
              <w:t xml:space="preserve"> </w:t>
            </w:r>
            <w:r w:rsidR="006F2820">
              <w:rPr>
                <w:rFonts w:ascii="Calibri" w:eastAsia="Calibri" w:hAnsi="Calibri" w:cs="Calibri"/>
                <w:color w:val="000000" w:themeColor="text1"/>
              </w:rPr>
              <w:t>Rule</w:t>
            </w:r>
            <w:r>
              <w:rPr>
                <w:rFonts w:ascii="Calibri" w:eastAsia="Calibri" w:hAnsi="Calibri" w:cs="Calibri"/>
                <w:color w:val="000000" w:themeColor="text1"/>
              </w:rPr>
              <w:t xml:space="preserve"> also</w:t>
            </w:r>
            <w:r w:rsidRPr="004F5DA1">
              <w:rPr>
                <w:rFonts w:ascii="Calibri" w:eastAsia="Calibri" w:hAnsi="Calibri" w:cs="Calibri"/>
                <w:color w:val="000000" w:themeColor="text1"/>
              </w:rPr>
              <w:t xml:space="preserve"> includes a Super-Emitter Program and advanced technology pathways that go beyond traditional LDAR, integrating real-time </w:t>
            </w:r>
            <w:r>
              <w:rPr>
                <w:rFonts w:ascii="Calibri" w:eastAsia="Calibri" w:hAnsi="Calibri" w:cs="Calibri"/>
                <w:color w:val="000000" w:themeColor="text1"/>
              </w:rPr>
              <w:t>/</w:t>
            </w:r>
            <w:r w:rsidRPr="004F5DA1">
              <w:rPr>
                <w:rFonts w:ascii="Calibri" w:eastAsia="Calibri" w:hAnsi="Calibri" w:cs="Calibri"/>
                <w:color w:val="000000" w:themeColor="text1"/>
              </w:rPr>
              <w:t xml:space="preserve"> remote sensing capabilities into regulatory compliance.</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6B2CB6DD" w:rsidR="002F0752" w:rsidRPr="00CF2E7C" w:rsidRDefault="00AE7F0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2D702004" w:rsidR="002F0752" w:rsidRPr="00CF2E7C" w:rsidRDefault="00AE7F0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CE62410" w14:textId="2064B8B4" w:rsidR="00AE7F0D" w:rsidRPr="00AE7F0D" w:rsidRDefault="00AE7F0D" w:rsidP="00AE7F0D">
            <w:pPr>
              <w:rPr>
                <w:rFonts w:ascii="Calibri" w:eastAsia="Calibri" w:hAnsi="Calibri" w:cs="Calibri"/>
                <w:color w:val="000000" w:themeColor="text1"/>
              </w:rPr>
            </w:pPr>
            <w:r w:rsidRPr="00AE7F0D">
              <w:rPr>
                <w:rFonts w:ascii="Calibri" w:eastAsia="Calibri" w:hAnsi="Calibri" w:cs="Calibri"/>
                <w:color w:val="000000" w:themeColor="text1"/>
              </w:rPr>
              <w:t>The rule sets performance-based targets for fugitive emissions mitigation, including:</w:t>
            </w:r>
          </w:p>
          <w:p w14:paraId="340254B4" w14:textId="29B9C258" w:rsidR="00AE7F0D" w:rsidRPr="00AE7F0D" w:rsidRDefault="00AE7F0D" w:rsidP="00AE7F0D">
            <w:pPr>
              <w:pStyle w:val="ListParagraph"/>
              <w:numPr>
                <w:ilvl w:val="0"/>
                <w:numId w:val="53"/>
              </w:numPr>
              <w:rPr>
                <w:rFonts w:ascii="Calibri" w:eastAsia="Calibri" w:hAnsi="Calibri" w:cs="Calibri"/>
                <w:color w:val="000000" w:themeColor="text1"/>
              </w:rPr>
            </w:pPr>
            <w:r w:rsidRPr="00AE7F0D">
              <w:rPr>
                <w:rFonts w:ascii="Calibri" w:eastAsia="Calibri" w:hAnsi="Calibri" w:cs="Calibri"/>
                <w:color w:val="000000" w:themeColor="text1"/>
              </w:rPr>
              <w:t>Zero emissions from process controllers where feasible</w:t>
            </w:r>
            <w:r w:rsidR="006F2820">
              <w:rPr>
                <w:rFonts w:ascii="Calibri" w:eastAsia="Calibri" w:hAnsi="Calibri" w:cs="Calibri"/>
                <w:color w:val="000000" w:themeColor="text1"/>
              </w:rPr>
              <w:t>;</w:t>
            </w:r>
          </w:p>
          <w:p w14:paraId="58783D87" w14:textId="56616BC1" w:rsidR="00AE7F0D" w:rsidRPr="00AE7F0D" w:rsidRDefault="00AE7F0D" w:rsidP="00AE7F0D">
            <w:pPr>
              <w:pStyle w:val="ListParagraph"/>
              <w:numPr>
                <w:ilvl w:val="0"/>
                <w:numId w:val="53"/>
              </w:numPr>
              <w:rPr>
                <w:rFonts w:ascii="Calibri" w:eastAsia="Calibri" w:hAnsi="Calibri" w:cs="Calibri"/>
                <w:color w:val="000000" w:themeColor="text1"/>
              </w:rPr>
            </w:pPr>
            <w:r w:rsidRPr="00AE7F0D">
              <w:rPr>
                <w:rFonts w:ascii="Calibri" w:eastAsia="Calibri" w:hAnsi="Calibri" w:cs="Calibri"/>
                <w:color w:val="000000" w:themeColor="text1"/>
              </w:rPr>
              <w:t>Volumetric flow rate thresholds for compressors and seals</w:t>
            </w:r>
            <w:r w:rsidR="006F2820">
              <w:rPr>
                <w:rFonts w:ascii="Calibri" w:eastAsia="Calibri" w:hAnsi="Calibri" w:cs="Calibri"/>
                <w:color w:val="000000" w:themeColor="text1"/>
              </w:rPr>
              <w:t>;</w:t>
            </w:r>
          </w:p>
          <w:p w14:paraId="710BB34C" w14:textId="726FB762" w:rsidR="002F0752" w:rsidRPr="00AE7F0D" w:rsidRDefault="00AE7F0D" w:rsidP="00AE7F0D">
            <w:pPr>
              <w:pStyle w:val="ListParagraph"/>
              <w:numPr>
                <w:ilvl w:val="0"/>
                <w:numId w:val="53"/>
              </w:numPr>
              <w:rPr>
                <w:rFonts w:ascii="Calibri" w:eastAsia="Calibri" w:hAnsi="Calibri" w:cs="Calibri"/>
                <w:color w:val="000000" w:themeColor="text1"/>
              </w:rPr>
            </w:pPr>
            <w:r w:rsidRPr="00AE7F0D">
              <w:rPr>
                <w:rFonts w:ascii="Calibri" w:eastAsia="Calibri" w:hAnsi="Calibri" w:cs="Calibri"/>
                <w:color w:val="000000" w:themeColor="text1"/>
              </w:rPr>
              <w:t>95% control efficiency for emissions routed to control devices</w:t>
            </w:r>
            <w:r w:rsidR="006F2820">
              <w:rPr>
                <w:rFonts w:ascii="Calibri" w:eastAsia="Calibri" w:hAnsi="Calibri" w:cs="Calibri"/>
                <w:color w:val="000000" w:themeColor="text1"/>
              </w:rPr>
              <w:t>;</w:t>
            </w:r>
          </w:p>
          <w:p w14:paraId="147FD9A3" w14:textId="2CE5783D" w:rsidR="00AE7F0D" w:rsidRPr="00CF2E7C" w:rsidRDefault="00AE7F0D" w:rsidP="00AE7F0D">
            <w:pPr>
              <w:rPr>
                <w:rFonts w:ascii="Calibri" w:eastAsia="Calibri" w:hAnsi="Calibri" w:cs="Calibri"/>
                <w:color w:val="000000" w:themeColor="text1"/>
              </w:rPr>
            </w:pPr>
            <w:r>
              <w:rPr>
                <w:rFonts w:ascii="Calibri" w:eastAsia="Calibri" w:hAnsi="Calibri" w:cs="Calibri"/>
                <w:color w:val="000000" w:themeColor="text1"/>
              </w:rPr>
              <w:lastRenderedPageBreak/>
              <w:t xml:space="preserve">See Sections </w:t>
            </w:r>
            <w:r w:rsidRPr="00AE7F0D">
              <w:rPr>
                <w:rFonts w:ascii="Calibri" w:eastAsia="Calibri" w:hAnsi="Calibri" w:cs="Calibri"/>
                <w:color w:val="000000" w:themeColor="text1"/>
              </w:rPr>
              <w:t>X.A and X.B</w:t>
            </w:r>
            <w:r>
              <w:rPr>
                <w:rFonts w:ascii="Calibri" w:eastAsia="Calibri" w:hAnsi="Calibri" w:cs="Calibri"/>
                <w:color w:val="000000" w:themeColor="text1"/>
              </w:rPr>
              <w:t xml:space="preserve">, </w:t>
            </w:r>
            <w:r w:rsidRPr="00AE7F0D">
              <w:rPr>
                <w:rFonts w:ascii="Calibri" w:eastAsia="Calibri" w:hAnsi="Calibri" w:cs="Calibri"/>
                <w:color w:val="000000" w:themeColor="text1"/>
              </w:rPr>
              <w:t>Appendix K – OGI Protocol</w:t>
            </w:r>
            <w:r>
              <w:rPr>
                <w:rFonts w:ascii="Calibri" w:eastAsia="Calibri" w:hAnsi="Calibri" w:cs="Calibri"/>
                <w:color w:val="000000" w:themeColor="text1"/>
              </w:rPr>
              <w:t xml:space="preserve">, and </w:t>
            </w:r>
            <w:r w:rsidRPr="00AE7F0D">
              <w:rPr>
                <w:rFonts w:ascii="Calibri" w:eastAsia="Calibri" w:hAnsi="Calibri" w:cs="Calibri"/>
                <w:color w:val="000000" w:themeColor="text1"/>
              </w:rPr>
              <w:t>Tables 3 and 4</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3E6BE0E3" w:rsidR="002F0752" w:rsidRPr="00CF2E7C" w:rsidRDefault="00AE7F0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4B9F3DEE" w:rsidR="002F0752" w:rsidRPr="00CF2E7C" w:rsidRDefault="00AE7F0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717A8A8" w:rsidR="002F0752" w:rsidRPr="00CF2E7C" w:rsidRDefault="00AE7F0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21ADFCAA" w:rsidR="002F0752" w:rsidRPr="00CF2E7C" w:rsidRDefault="00AE7F0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419EA778"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6B5A19B4" w:rsidR="002F0752" w:rsidRPr="00CF2E7C" w:rsidRDefault="00AE7F0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DA6700D" w14:textId="01A67159" w:rsidR="005F0B09" w:rsidRDefault="005F0B09" w:rsidP="00CF2E7C">
            <w:pPr>
              <w:rPr>
                <w:rFonts w:ascii="Calibri" w:eastAsia="Calibri" w:hAnsi="Calibri" w:cs="Calibri"/>
                <w:color w:val="000000" w:themeColor="text1"/>
              </w:rPr>
            </w:pPr>
            <w:r>
              <w:rPr>
                <w:rFonts w:ascii="Calibri" w:eastAsia="Calibri" w:hAnsi="Calibri" w:cs="Calibri"/>
                <w:color w:val="000000" w:themeColor="text1"/>
              </w:rPr>
              <w:t xml:space="preserve">The exact requirements for the frequency of leak detection monitoring depend on the </w:t>
            </w:r>
            <w:r w:rsidR="00CD749D">
              <w:rPr>
                <w:rFonts w:ascii="Calibri" w:eastAsia="Calibri" w:hAnsi="Calibri" w:cs="Calibri"/>
                <w:color w:val="000000" w:themeColor="text1"/>
              </w:rPr>
              <w:t>operator’s</w:t>
            </w:r>
            <w:r>
              <w:rPr>
                <w:rFonts w:ascii="Calibri" w:eastAsia="Calibri" w:hAnsi="Calibri" w:cs="Calibri"/>
                <w:color w:val="000000" w:themeColor="text1"/>
              </w:rPr>
              <w:t xml:space="preserve"> emission rate detection sensitivity, described as the Minimum Detection Threshold in EPA’s Periodic Screening Matrix.  When using less-sensitive technologies, sites must be scanned with greater frequency and/or include an annual OGI survey.  Technologies with better detection sensitivity require less frequent scans, and no OGI survey.  An interim option is available for the quarterly scan frequency that allows operators to use a technology with a detection sensitivity of &lt; or = 3 kg/hr instead of &lt; or = 1 kg/hr for the first two years.  </w:t>
            </w:r>
          </w:p>
          <w:p w14:paraId="3B673906" w14:textId="3C01307E" w:rsidR="005F0B09" w:rsidRDefault="005F0B09" w:rsidP="00CF2E7C">
            <w:pPr>
              <w:rPr>
                <w:rFonts w:ascii="Calibri" w:eastAsia="Calibri" w:hAnsi="Calibri" w:cs="Calibri"/>
                <w:color w:val="000000" w:themeColor="text1"/>
              </w:rPr>
            </w:pPr>
            <w:r>
              <w:rPr>
                <w:rFonts w:ascii="Calibri" w:eastAsia="Calibri" w:hAnsi="Calibri" w:cs="Calibri"/>
                <w:color w:val="000000" w:themeColor="text1"/>
              </w:rPr>
              <w:t xml:space="preserve">Operators may use a combination of technologies, but sites must be screened at least as frequently as the requirement associated with the least-sensitive method (i.e. the highest detection threshold).  </w:t>
            </w:r>
          </w:p>
          <w:p w14:paraId="57DE474F" w14:textId="06923E57" w:rsidR="005F0B09" w:rsidRDefault="005F0B09" w:rsidP="00CF2E7C">
            <w:pPr>
              <w:rPr>
                <w:rFonts w:ascii="Calibri" w:eastAsia="Calibri" w:hAnsi="Calibri" w:cs="Calibri"/>
                <w:color w:val="000000" w:themeColor="text1"/>
              </w:rPr>
            </w:pPr>
            <w:r>
              <w:rPr>
                <w:rFonts w:ascii="Calibri" w:eastAsia="Calibri" w:hAnsi="Calibri" w:cs="Calibri"/>
                <w:color w:val="000000" w:themeColor="text1"/>
              </w:rPr>
              <w:t xml:space="preserve">Additionally, under the new rule, only sites with “confirmed detections” will need to be visited for follow-up using ground crews.  Crews can, therefore, spend their time focusing on sites where there are emissions present.  For sites with confirmed detections, follow-up </w:t>
            </w:r>
            <w:r>
              <w:rPr>
                <w:rFonts w:ascii="Calibri" w:eastAsia="Calibri" w:hAnsi="Calibri" w:cs="Calibri"/>
                <w:color w:val="000000" w:themeColor="text1"/>
              </w:rPr>
              <w:lastRenderedPageBreak/>
              <w:t xml:space="preserve">investigations can be targeted to a specific region on the site according to the leak detection method’s emissions source localization capability, or spatial resolution.  </w:t>
            </w:r>
          </w:p>
          <w:p w14:paraId="4BF3B40D" w14:textId="31B8E7EE" w:rsidR="00E25331" w:rsidRDefault="00E25331" w:rsidP="00CF2E7C">
            <w:pPr>
              <w:rPr>
                <w:rFonts w:ascii="Calibri" w:eastAsia="Calibri" w:hAnsi="Calibri" w:cs="Calibri"/>
                <w:color w:val="000000" w:themeColor="text1"/>
              </w:rPr>
            </w:pPr>
            <w:r>
              <w:rPr>
                <w:rFonts w:ascii="Calibri" w:eastAsia="Calibri" w:hAnsi="Calibri" w:cs="Calibri"/>
                <w:color w:val="000000" w:themeColor="text1"/>
              </w:rPr>
              <w:t xml:space="preserve">The following </w:t>
            </w:r>
            <w:r w:rsidR="005F0B09">
              <w:rPr>
                <w:rFonts w:ascii="Calibri" w:eastAsia="Calibri" w:hAnsi="Calibri" w:cs="Calibri"/>
                <w:color w:val="000000" w:themeColor="text1"/>
              </w:rPr>
              <w:t>detection monitoring requirements apply to well sites, centralized production facilities, and compressor stations subject to AVO inspections with quarterly OGI or EPA Method 21 Monitoring under OOOOb Table 1.</w:t>
            </w:r>
          </w:p>
          <w:p w14:paraId="7DA7A33B" w14:textId="5BB4187C" w:rsidR="00E25331" w:rsidRDefault="005F0B09" w:rsidP="005F0B09">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&lt; or = 1 kg/hr – Quarterly screening</w:t>
            </w:r>
          </w:p>
          <w:p w14:paraId="7E377A8F" w14:textId="7385C9CA" w:rsidR="005F0B09" w:rsidRDefault="005F0B09" w:rsidP="005F0B09">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 xml:space="preserve">&lt; or = 2 kg/hr – Bimonthly screening </w:t>
            </w:r>
          </w:p>
          <w:p w14:paraId="4A78B0B3" w14:textId="01D13202" w:rsidR="005F0B09" w:rsidRDefault="005F0B09" w:rsidP="005F0B09">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&lt; or = 10 kg/hr – Bimonthly + Annual OGI screening</w:t>
            </w:r>
          </w:p>
          <w:p w14:paraId="3116E24B" w14:textId="2627ED2E" w:rsidR="005F0B09" w:rsidRDefault="005F0B09" w:rsidP="005F0B09">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 xml:space="preserve">&lt; or = 5 kg/hr – Monthly screening </w:t>
            </w:r>
          </w:p>
          <w:p w14:paraId="6D680188" w14:textId="4A54A610" w:rsidR="005F0B09" w:rsidRPr="005F0B09" w:rsidRDefault="005F0B09" w:rsidP="00CF2E7C">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&lt; or = 15 kg/hr – Monthly + Annual OGI screening</w:t>
            </w:r>
          </w:p>
          <w:p w14:paraId="65B8914D" w14:textId="5D6C1D2B" w:rsidR="00E25331" w:rsidRDefault="00E25331" w:rsidP="00CF2E7C">
            <w:pPr>
              <w:rPr>
                <w:rFonts w:ascii="Calibri" w:eastAsia="Calibri" w:hAnsi="Calibri" w:cs="Calibri"/>
                <w:color w:val="000000" w:themeColor="text1"/>
              </w:rPr>
            </w:pPr>
            <w:r>
              <w:rPr>
                <w:rFonts w:ascii="Calibri" w:eastAsia="Calibri" w:hAnsi="Calibri" w:cs="Calibri"/>
                <w:color w:val="000000" w:themeColor="text1"/>
              </w:rPr>
              <w:t xml:space="preserve">The </w:t>
            </w:r>
            <w:r>
              <w:rPr>
                <w:rFonts w:ascii="Calibri" w:eastAsia="Calibri" w:hAnsi="Calibri" w:cs="Calibri"/>
                <w:color w:val="000000" w:themeColor="text1"/>
              </w:rPr>
              <w:t>following detection monitoring requirements apply</w:t>
            </w:r>
            <w:r>
              <w:rPr>
                <w:rFonts w:ascii="Calibri" w:eastAsia="Calibri" w:hAnsi="Calibri" w:cs="Calibri"/>
                <w:color w:val="000000" w:themeColor="text1"/>
              </w:rPr>
              <w:t xml:space="preserve"> to </w:t>
            </w:r>
            <w:r w:rsidR="005F0B09">
              <w:rPr>
                <w:rFonts w:ascii="Calibri" w:eastAsia="Calibri" w:hAnsi="Calibri" w:cs="Calibri"/>
                <w:color w:val="000000" w:themeColor="text1"/>
              </w:rPr>
              <w:t xml:space="preserve">well sites and centralized production facilities subject to AVO inspections and/or semiannual OGI or EPA Method 21 Monitoring </w:t>
            </w:r>
            <w:r>
              <w:rPr>
                <w:rFonts w:ascii="Calibri" w:eastAsia="Calibri" w:hAnsi="Calibri" w:cs="Calibri"/>
                <w:color w:val="000000" w:themeColor="text1"/>
              </w:rPr>
              <w:t xml:space="preserve">under OOOOb Table 2.  </w:t>
            </w:r>
          </w:p>
          <w:p w14:paraId="00A134E7" w14:textId="4D1E2117" w:rsidR="00E25331" w:rsidRDefault="00E25331" w:rsidP="00CF2E7C">
            <w:pPr>
              <w:rPr>
                <w:rFonts w:ascii="Calibri" w:eastAsia="Calibri" w:hAnsi="Calibri" w:cs="Calibri"/>
                <w:color w:val="000000" w:themeColor="text1"/>
              </w:rPr>
            </w:pPr>
            <w:r>
              <w:rPr>
                <w:rFonts w:ascii="Calibri" w:eastAsia="Calibri" w:hAnsi="Calibri" w:cs="Calibri"/>
                <w:color w:val="000000" w:themeColor="text1"/>
              </w:rPr>
              <w:t xml:space="preserve">Minimum Detection Threshold of Screening Technology: </w:t>
            </w:r>
          </w:p>
          <w:p w14:paraId="5958D80B" w14:textId="1208D073" w:rsidR="00E25331" w:rsidRDefault="00E25331" w:rsidP="00E25331">
            <w:pPr>
              <w:pStyle w:val="ListParagraph"/>
              <w:numPr>
                <w:ilvl w:val="0"/>
                <w:numId w:val="53"/>
              </w:numPr>
              <w:rPr>
                <w:rFonts w:ascii="Calibri" w:eastAsia="Calibri" w:hAnsi="Calibri" w:cs="Calibri"/>
                <w:color w:val="000000" w:themeColor="text1"/>
              </w:rPr>
            </w:pPr>
            <w:r w:rsidRPr="00E25331">
              <w:rPr>
                <w:rFonts w:ascii="Calibri" w:eastAsia="Calibri" w:hAnsi="Calibri" w:cs="Calibri"/>
                <w:color w:val="000000" w:themeColor="text1"/>
              </w:rPr>
              <w:t>&lt; or = 1 kg/hr – Semi</w:t>
            </w:r>
            <w:r>
              <w:rPr>
                <w:rFonts w:ascii="Calibri" w:eastAsia="Calibri" w:hAnsi="Calibri" w:cs="Calibri"/>
                <w:color w:val="000000" w:themeColor="text1"/>
              </w:rPr>
              <w:t>-</w:t>
            </w:r>
            <w:r w:rsidRPr="00E25331">
              <w:rPr>
                <w:rFonts w:ascii="Calibri" w:eastAsia="Calibri" w:hAnsi="Calibri" w:cs="Calibri"/>
                <w:color w:val="000000" w:themeColor="text1"/>
              </w:rPr>
              <w:t xml:space="preserve">annual screening </w:t>
            </w:r>
          </w:p>
          <w:p w14:paraId="5873C147" w14:textId="77317B5B" w:rsidR="00E25331" w:rsidRDefault="00E25331" w:rsidP="00E25331">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&lt; or = 2 kg/hr – Tri-annual screening</w:t>
            </w:r>
          </w:p>
          <w:p w14:paraId="704494AE" w14:textId="5646DDDC" w:rsidR="00E25331" w:rsidRDefault="00E25331" w:rsidP="00E25331">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 xml:space="preserve">&lt; or = 10 kg/hr – Tri-annual + Annual OGI screening </w:t>
            </w:r>
          </w:p>
          <w:p w14:paraId="49BFE160" w14:textId="67AF5DF1" w:rsidR="00E25331" w:rsidRDefault="00E25331" w:rsidP="00E25331">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&lt; or = 5 kg/hr – Quarterly screening</w:t>
            </w:r>
          </w:p>
          <w:p w14:paraId="27FE962F" w14:textId="5472A083" w:rsidR="00E25331" w:rsidRDefault="00E25331" w:rsidP="00E25331">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&lt; or = 15 kg/hr – Quarterly + Annual OGI screening</w:t>
            </w:r>
          </w:p>
          <w:p w14:paraId="51A328C8" w14:textId="11BA2892" w:rsidR="00E25331" w:rsidRPr="005F0B09" w:rsidRDefault="00E25331" w:rsidP="00CF2E7C">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&lt; or = 15 kg/hr – Bimonthly screening</w:t>
            </w: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6BDBBE6"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53802950" w:rsidR="002F0752" w:rsidRPr="00CF2E7C" w:rsidRDefault="00FA1F2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3605C678"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34DC4436" w:rsidR="00FA1F2A" w:rsidRPr="00CF2E7C" w:rsidRDefault="00FA1F2A"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0F926CFF" w:rsidR="002F0752" w:rsidRPr="00CF2E7C" w:rsidRDefault="009D22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3FB14C5" w14:textId="7CFA41AE" w:rsidR="009D2235" w:rsidRPr="009D2235" w:rsidRDefault="009D2235" w:rsidP="009D2235">
            <w:pPr>
              <w:rPr>
                <w:rFonts w:ascii="Calibri" w:eastAsia="Calibri" w:hAnsi="Calibri" w:cs="Calibri"/>
                <w:color w:val="000000" w:themeColor="text1"/>
              </w:rPr>
            </w:pPr>
            <w:r w:rsidRPr="009D2235">
              <w:rPr>
                <w:rFonts w:ascii="Calibri" w:eastAsia="Calibri" w:hAnsi="Calibri" w:cs="Calibri"/>
                <w:color w:val="000000" w:themeColor="text1"/>
              </w:rPr>
              <w:t xml:space="preserve">The </w:t>
            </w:r>
            <w:r>
              <w:rPr>
                <w:rFonts w:ascii="Calibri" w:eastAsia="Calibri" w:hAnsi="Calibri" w:cs="Calibri"/>
                <w:color w:val="000000" w:themeColor="text1"/>
              </w:rPr>
              <w:t>policy tool</w:t>
            </w:r>
            <w:r w:rsidRPr="009D2235">
              <w:rPr>
                <w:rFonts w:ascii="Calibri" w:eastAsia="Calibri" w:hAnsi="Calibri" w:cs="Calibri"/>
                <w:color w:val="000000" w:themeColor="text1"/>
              </w:rPr>
              <w:t xml:space="preserve"> requires specific time limits for typical repairs of fugitive emissions, depending on the type of monitoring method used and the facility type. For most sources, the rule mandates that:</w:t>
            </w:r>
            <w:r>
              <w:rPr>
                <w:rFonts w:ascii="Calibri" w:eastAsia="Calibri" w:hAnsi="Calibri" w:cs="Calibri"/>
                <w:color w:val="000000" w:themeColor="text1"/>
              </w:rPr>
              <w:t xml:space="preserve"> t</w:t>
            </w:r>
            <w:r w:rsidRPr="009D2235">
              <w:rPr>
                <w:rFonts w:ascii="Calibri" w:eastAsia="Calibri" w:hAnsi="Calibri" w:cs="Calibri"/>
                <w:color w:val="000000" w:themeColor="text1"/>
              </w:rPr>
              <w:t>he first attempt at repair must be made within 15 days of detecting a leak</w:t>
            </w:r>
            <w:r>
              <w:rPr>
                <w:rFonts w:ascii="Calibri" w:eastAsia="Calibri" w:hAnsi="Calibri" w:cs="Calibri"/>
                <w:color w:val="000000" w:themeColor="text1"/>
              </w:rPr>
              <w:t xml:space="preserve"> and t</w:t>
            </w:r>
            <w:r w:rsidRPr="009D2235">
              <w:rPr>
                <w:rFonts w:ascii="Calibri" w:eastAsia="Calibri" w:hAnsi="Calibri" w:cs="Calibri"/>
                <w:color w:val="000000" w:themeColor="text1"/>
              </w:rPr>
              <w:t>he final repair must be completed within 30 days of the first attempt.</w:t>
            </w:r>
          </w:p>
          <w:p w14:paraId="60B73E37" w14:textId="46413868" w:rsidR="002F0752" w:rsidRPr="00CF2E7C" w:rsidRDefault="009D2235" w:rsidP="009D2235">
            <w:pPr>
              <w:rPr>
                <w:rFonts w:ascii="Calibri" w:eastAsia="Calibri" w:hAnsi="Calibri" w:cs="Calibri"/>
                <w:color w:val="000000" w:themeColor="text1"/>
              </w:rPr>
            </w:pPr>
            <w:r w:rsidRPr="009D2235">
              <w:rPr>
                <w:rFonts w:ascii="Calibri" w:eastAsia="Calibri" w:hAnsi="Calibri" w:cs="Calibri"/>
                <w:color w:val="000000" w:themeColor="text1"/>
              </w:rPr>
              <w:t>This applies to well sites, centralized production facilities, and compressor stations using Optical Gas Imaging (OGI), EPA Method 21, or advanced detection technologies</w:t>
            </w:r>
            <w:r>
              <w:rPr>
                <w:rFonts w:ascii="Calibri" w:eastAsia="Calibri" w:hAnsi="Calibri" w:cs="Calibri"/>
                <w:color w:val="000000" w:themeColor="text1"/>
              </w:rPr>
              <w:t xml:space="preserve"> (</w:t>
            </w:r>
            <w:r w:rsidRPr="009D2235">
              <w:rPr>
                <w:rFonts w:ascii="Calibri" w:eastAsia="Calibri" w:hAnsi="Calibri" w:cs="Calibri"/>
                <w:color w:val="000000" w:themeColor="text1"/>
              </w:rPr>
              <w:t xml:space="preserve">Section X.A and Tables 3 </w:t>
            </w:r>
            <w:r>
              <w:rPr>
                <w:rFonts w:ascii="Calibri" w:eastAsia="Calibri" w:hAnsi="Calibri" w:cs="Calibri"/>
                <w:color w:val="000000" w:themeColor="text1"/>
              </w:rPr>
              <w:t>and</w:t>
            </w:r>
            <w:r w:rsidRPr="009D2235">
              <w:rPr>
                <w:rFonts w:ascii="Calibri" w:eastAsia="Calibri" w:hAnsi="Calibri" w:cs="Calibri"/>
                <w:color w:val="000000" w:themeColor="text1"/>
              </w:rPr>
              <w:t xml:space="preserve"> 4).</w:t>
            </w: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1410A212" w:rsidR="002F0752" w:rsidRPr="00CF2E7C" w:rsidRDefault="004410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1FC9D1CE" w:rsidR="002F0752" w:rsidRPr="00CF2E7C" w:rsidRDefault="004410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87AFB14" w:rsidR="002F0752" w:rsidRPr="00CF2E7C" w:rsidRDefault="004410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5FB43064" w:rsidR="002F0752" w:rsidRPr="00CF2E7C" w:rsidRDefault="0058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14E8AE40" w:rsidR="002F0752" w:rsidRPr="00CF2E7C" w:rsidRDefault="0058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1EB15A7A" w:rsidR="002F0752" w:rsidRPr="00CF2E7C" w:rsidRDefault="0058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3D717C01" w:rsidR="002F0752" w:rsidRPr="00CF2E7C" w:rsidRDefault="0058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5E47973B" w:rsidR="002F0752" w:rsidRPr="0058250B" w:rsidRDefault="0058250B" w:rsidP="00CF2E7C">
            <w:pPr>
              <w:rPr>
                <w:rFonts w:ascii="Calibri" w:eastAsia="Calibri" w:hAnsi="Calibri" w:cs="Calibri"/>
                <w:color w:val="000000" w:themeColor="text1"/>
              </w:rPr>
            </w:pPr>
            <w:r w:rsidRPr="0058250B">
              <w:rPr>
                <w:rFonts w:ascii="Calibri" w:eastAsia="Calibri" w:hAnsi="Calibri" w:cs="Calibri"/>
                <w:color w:val="000000" w:themeColor="text1"/>
              </w:rPr>
              <w:t>X</w:t>
            </w:r>
          </w:p>
        </w:tc>
        <w:tc>
          <w:tcPr>
            <w:tcW w:w="1632" w:type="dxa"/>
            <w:vAlign w:val="center"/>
          </w:tcPr>
          <w:p w14:paraId="1D424DDE" w14:textId="77777777" w:rsidR="002F0752" w:rsidRPr="0058250B"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B819F4D" w:rsidR="002F0752" w:rsidRPr="0058250B" w:rsidRDefault="0058250B" w:rsidP="00CF2E7C">
            <w:pPr>
              <w:rPr>
                <w:rFonts w:ascii="Calibri" w:eastAsia="Calibri" w:hAnsi="Calibri" w:cs="Calibri"/>
                <w:color w:val="000000" w:themeColor="text1"/>
              </w:rPr>
            </w:pPr>
            <w:r w:rsidRPr="0058250B">
              <w:rPr>
                <w:rFonts w:ascii="Calibri" w:eastAsia="Calibri" w:hAnsi="Calibri" w:cs="Calibri"/>
                <w:color w:val="000000" w:themeColor="text1"/>
              </w:rPr>
              <w:t>X</w:t>
            </w:r>
          </w:p>
        </w:tc>
        <w:tc>
          <w:tcPr>
            <w:tcW w:w="1632" w:type="dxa"/>
            <w:vAlign w:val="center"/>
          </w:tcPr>
          <w:p w14:paraId="53DFE6AD" w14:textId="77777777" w:rsidR="002F0752" w:rsidRPr="0058250B"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36C94A41" w:rsidR="002F0752" w:rsidRPr="0058250B" w:rsidRDefault="0058250B" w:rsidP="00CF2E7C">
            <w:pPr>
              <w:rPr>
                <w:rFonts w:ascii="Calibri" w:eastAsia="Calibri" w:hAnsi="Calibri" w:cs="Calibri"/>
                <w:color w:val="000000" w:themeColor="text1"/>
              </w:rPr>
            </w:pPr>
            <w:r w:rsidRPr="0058250B">
              <w:rPr>
                <w:rFonts w:ascii="Calibri" w:eastAsia="Calibri" w:hAnsi="Calibri" w:cs="Calibri"/>
                <w:color w:val="000000" w:themeColor="text1"/>
              </w:rPr>
              <w:t>X</w:t>
            </w:r>
          </w:p>
        </w:tc>
        <w:tc>
          <w:tcPr>
            <w:tcW w:w="1632" w:type="dxa"/>
            <w:vAlign w:val="center"/>
          </w:tcPr>
          <w:p w14:paraId="2BD74CF2" w14:textId="77777777" w:rsidR="002F0752" w:rsidRPr="0058250B"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58250B" w:rsidRDefault="002F0752" w:rsidP="00CF2E7C">
            <w:pPr>
              <w:rPr>
                <w:rFonts w:ascii="Calibri" w:eastAsia="Calibri" w:hAnsi="Calibri" w:cs="Calibri"/>
                <w:color w:val="000000" w:themeColor="text1"/>
              </w:rPr>
            </w:pPr>
          </w:p>
        </w:tc>
        <w:tc>
          <w:tcPr>
            <w:tcW w:w="1632" w:type="dxa"/>
            <w:vAlign w:val="center"/>
          </w:tcPr>
          <w:p w14:paraId="7376823E" w14:textId="63326E10" w:rsidR="002F0752" w:rsidRPr="0058250B" w:rsidRDefault="0058250B" w:rsidP="00CF2E7C">
            <w:pPr>
              <w:rPr>
                <w:rFonts w:ascii="Calibri" w:eastAsia="Calibri" w:hAnsi="Calibri" w:cs="Calibri"/>
                <w:color w:val="000000" w:themeColor="text1"/>
              </w:rPr>
            </w:pPr>
            <w:r w:rsidRPr="0058250B">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58250B" w:rsidRDefault="002F0752" w:rsidP="00CF2E7C">
            <w:pPr>
              <w:rPr>
                <w:rFonts w:ascii="Calibri" w:eastAsia="Calibri" w:hAnsi="Calibri" w:cs="Calibri"/>
                <w:color w:val="000000" w:themeColor="text1"/>
              </w:rPr>
            </w:pPr>
          </w:p>
        </w:tc>
        <w:tc>
          <w:tcPr>
            <w:tcW w:w="1632" w:type="dxa"/>
            <w:vAlign w:val="center"/>
          </w:tcPr>
          <w:p w14:paraId="3EE4C822" w14:textId="20B53C79" w:rsidR="002F0752" w:rsidRPr="0058250B" w:rsidRDefault="0058250B" w:rsidP="00CF2E7C">
            <w:pPr>
              <w:rPr>
                <w:rFonts w:ascii="Calibri" w:eastAsia="Calibri" w:hAnsi="Calibri" w:cs="Calibri"/>
                <w:color w:val="000000" w:themeColor="text1"/>
              </w:rPr>
            </w:pPr>
            <w:r w:rsidRPr="0058250B">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58250B" w:rsidRDefault="002F0752" w:rsidP="00CF2E7C">
            <w:pPr>
              <w:rPr>
                <w:rFonts w:ascii="Calibri" w:eastAsia="Calibri" w:hAnsi="Calibri" w:cs="Calibri"/>
                <w:color w:val="000000" w:themeColor="text1"/>
              </w:rPr>
            </w:pPr>
          </w:p>
        </w:tc>
        <w:tc>
          <w:tcPr>
            <w:tcW w:w="1632" w:type="dxa"/>
            <w:vAlign w:val="center"/>
          </w:tcPr>
          <w:p w14:paraId="098E3041" w14:textId="63DDAD92" w:rsidR="002F0752" w:rsidRPr="0058250B" w:rsidRDefault="0058250B" w:rsidP="00CF2E7C">
            <w:pPr>
              <w:rPr>
                <w:rFonts w:ascii="Calibri" w:eastAsia="Calibri" w:hAnsi="Calibri" w:cs="Calibri"/>
                <w:color w:val="000000" w:themeColor="text1"/>
              </w:rPr>
            </w:pPr>
            <w:r w:rsidRPr="0058250B">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4867DB9E" w:rsidR="002F0752" w:rsidRPr="0058250B" w:rsidRDefault="0058250B" w:rsidP="00CF2E7C">
            <w:pPr>
              <w:rPr>
                <w:rFonts w:ascii="Calibri" w:eastAsia="Calibri" w:hAnsi="Calibri" w:cs="Calibri"/>
                <w:color w:val="000000" w:themeColor="text1"/>
              </w:rPr>
            </w:pPr>
            <w:r w:rsidRPr="0058250B">
              <w:rPr>
                <w:rFonts w:ascii="Calibri" w:eastAsia="Calibri" w:hAnsi="Calibri" w:cs="Calibri"/>
                <w:color w:val="000000" w:themeColor="text1"/>
              </w:rPr>
              <w:t>X</w:t>
            </w:r>
          </w:p>
        </w:tc>
        <w:tc>
          <w:tcPr>
            <w:tcW w:w="1632" w:type="dxa"/>
            <w:vAlign w:val="center"/>
          </w:tcPr>
          <w:p w14:paraId="1A9CA965" w14:textId="77777777" w:rsidR="002F0752" w:rsidRPr="0058250B"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53610D18" w:rsidR="002F0752" w:rsidRPr="0058250B" w:rsidRDefault="0058250B" w:rsidP="00CF2E7C">
            <w:pPr>
              <w:rPr>
                <w:rFonts w:ascii="Calibri" w:eastAsia="Calibri" w:hAnsi="Calibri" w:cs="Calibri"/>
                <w:color w:val="000000" w:themeColor="text1"/>
              </w:rPr>
            </w:pPr>
            <w:r w:rsidRPr="0058250B">
              <w:rPr>
                <w:rFonts w:ascii="Calibri" w:eastAsia="Calibri" w:hAnsi="Calibri" w:cs="Calibri"/>
                <w:color w:val="000000" w:themeColor="text1"/>
              </w:rPr>
              <w:t>X</w:t>
            </w:r>
          </w:p>
        </w:tc>
        <w:tc>
          <w:tcPr>
            <w:tcW w:w="1632" w:type="dxa"/>
            <w:vAlign w:val="center"/>
          </w:tcPr>
          <w:p w14:paraId="3650209D" w14:textId="77777777" w:rsidR="002F0752" w:rsidRPr="0058250B"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EA8B152" w14:textId="0AC1F949" w:rsidR="0058250B" w:rsidRPr="0058250B" w:rsidRDefault="0058250B" w:rsidP="0058250B">
            <w:pPr>
              <w:rPr>
                <w:rFonts w:ascii="Calibri" w:eastAsia="Calibri" w:hAnsi="Calibri" w:cs="Calibri"/>
                <w:color w:val="000000" w:themeColor="text1"/>
              </w:rPr>
            </w:pPr>
            <w:r w:rsidRPr="00FA1F2A">
              <w:rPr>
                <w:rFonts w:ascii="Calibri" w:eastAsia="Calibri" w:hAnsi="Calibri" w:cs="Calibri"/>
                <w:color w:val="000000" w:themeColor="text1"/>
                <w:u w:val="single"/>
              </w:rPr>
              <w:t>Prohibition of Venting</w:t>
            </w:r>
            <w:r w:rsidRPr="0058250B">
              <w:rPr>
                <w:rFonts w:ascii="Calibri" w:eastAsia="Calibri" w:hAnsi="Calibri" w:cs="Calibri"/>
                <w:color w:val="000000" w:themeColor="text1"/>
              </w:rPr>
              <w:t xml:space="preserve">: The </w:t>
            </w:r>
            <w:r>
              <w:rPr>
                <w:rFonts w:ascii="Calibri" w:eastAsia="Calibri" w:hAnsi="Calibri" w:cs="Calibri"/>
                <w:color w:val="000000" w:themeColor="text1"/>
              </w:rPr>
              <w:t>rule</w:t>
            </w:r>
            <w:r w:rsidRPr="0058250B">
              <w:rPr>
                <w:rFonts w:ascii="Calibri" w:eastAsia="Calibri" w:hAnsi="Calibri" w:cs="Calibri"/>
                <w:color w:val="000000" w:themeColor="text1"/>
              </w:rPr>
              <w:t xml:space="preserve"> prohibits routine venting from several sources, including pneumatic controllers and pumps, and requires best management practices to minimize venting from liquids unloading and well completions (Section X.A and Tables 3 &amp; 4).</w:t>
            </w:r>
          </w:p>
          <w:p w14:paraId="2D0E25FD" w14:textId="4F1E903A" w:rsidR="0058250B" w:rsidRPr="0058250B" w:rsidRDefault="0058250B" w:rsidP="0058250B">
            <w:pPr>
              <w:rPr>
                <w:rFonts w:ascii="Calibri" w:eastAsia="Calibri" w:hAnsi="Calibri" w:cs="Calibri"/>
                <w:color w:val="000000" w:themeColor="text1"/>
              </w:rPr>
            </w:pPr>
            <w:r w:rsidRPr="0058250B">
              <w:rPr>
                <w:rFonts w:ascii="Calibri" w:eastAsia="Calibri" w:hAnsi="Calibri" w:cs="Calibri"/>
                <w:color w:val="000000" w:themeColor="text1"/>
              </w:rPr>
              <w:t>Inclusion in Measurement and Reporting: Venting and flaring are explicitly included in the EPA’s Greenhouse Gas Reporting Program (GHGRP) and must be reported under Subpart W. The rule also requires operators to quantify and report emissions from specific events, such as super-emitter releases (Section VI.C and Section X.C).</w:t>
            </w:r>
          </w:p>
          <w:p w14:paraId="70F8A6EE" w14:textId="085C8256" w:rsidR="0058250B" w:rsidRPr="0058250B" w:rsidRDefault="0058250B" w:rsidP="0058250B">
            <w:pPr>
              <w:rPr>
                <w:rFonts w:ascii="Calibri" w:eastAsia="Calibri" w:hAnsi="Calibri" w:cs="Calibri"/>
                <w:color w:val="000000" w:themeColor="text1"/>
              </w:rPr>
            </w:pPr>
            <w:r w:rsidRPr="00FA1F2A">
              <w:rPr>
                <w:rFonts w:ascii="Calibri" w:eastAsia="Calibri" w:hAnsi="Calibri" w:cs="Calibri"/>
                <w:color w:val="000000" w:themeColor="text1"/>
                <w:u w:val="single"/>
              </w:rPr>
              <w:t>Site Inspections</w:t>
            </w:r>
            <w:r w:rsidRPr="0058250B">
              <w:rPr>
                <w:rFonts w:ascii="Calibri" w:eastAsia="Calibri" w:hAnsi="Calibri" w:cs="Calibri"/>
                <w:color w:val="000000" w:themeColor="text1"/>
              </w:rPr>
              <w:t>: The rule mandates regular leak detection and repair (LDAR) inspections using certified technologies, and requires recordkeeping to demonstrate compliance</w:t>
            </w:r>
            <w:r>
              <w:rPr>
                <w:rFonts w:ascii="Calibri" w:eastAsia="Calibri" w:hAnsi="Calibri" w:cs="Calibri"/>
                <w:color w:val="000000" w:themeColor="text1"/>
              </w:rPr>
              <w:t xml:space="preserve"> and </w:t>
            </w:r>
            <w:r w:rsidRPr="0058250B">
              <w:rPr>
                <w:rFonts w:ascii="Calibri" w:eastAsia="Calibri" w:hAnsi="Calibri" w:cs="Calibri"/>
                <w:color w:val="000000" w:themeColor="text1"/>
              </w:rPr>
              <w:t>monitor and enforce venting and flaring controls (Section X.A and Appendix K).</w:t>
            </w:r>
          </w:p>
          <w:p w14:paraId="5240614E" w14:textId="132A67AB" w:rsidR="0058250B" w:rsidRPr="0058250B" w:rsidRDefault="0058250B" w:rsidP="0058250B">
            <w:pPr>
              <w:rPr>
                <w:rFonts w:ascii="Calibri" w:eastAsia="Calibri" w:hAnsi="Calibri" w:cs="Calibri"/>
                <w:color w:val="000000" w:themeColor="text1"/>
              </w:rPr>
            </w:pPr>
            <w:r w:rsidRPr="00FA1F2A">
              <w:rPr>
                <w:rFonts w:ascii="Calibri" w:eastAsia="Calibri" w:hAnsi="Calibri" w:cs="Calibri"/>
                <w:color w:val="000000" w:themeColor="text1"/>
                <w:u w:val="single"/>
              </w:rPr>
              <w:t>Specific Equipment/Technologies</w:t>
            </w:r>
            <w:r w:rsidRPr="0058250B">
              <w:rPr>
                <w:rFonts w:ascii="Calibri" w:eastAsia="Calibri" w:hAnsi="Calibri" w:cs="Calibri"/>
                <w:color w:val="000000" w:themeColor="text1"/>
              </w:rPr>
              <w:t>: The rule requires the use of zero-emissions or low-bleed pneumatic controllers, vapor recovery units (VRUs), and control devices with 95% destruction efficiency for flaring. It also mandates the use of reduced emissions completions (RECs) for well completions (Section X.A and Table 3).</w:t>
            </w:r>
          </w:p>
          <w:p w14:paraId="14A6A840" w14:textId="75614480" w:rsidR="002F0752" w:rsidRPr="00CF2E7C" w:rsidRDefault="0058250B" w:rsidP="0058250B">
            <w:pPr>
              <w:rPr>
                <w:rFonts w:ascii="Calibri" w:eastAsia="Calibri" w:hAnsi="Calibri" w:cs="Calibri"/>
                <w:b/>
                <w:bCs/>
                <w:color w:val="000000" w:themeColor="text1"/>
              </w:rPr>
            </w:pPr>
            <w:r w:rsidRPr="00FA1F2A">
              <w:rPr>
                <w:rFonts w:ascii="Calibri" w:eastAsia="Calibri" w:hAnsi="Calibri" w:cs="Calibri"/>
                <w:color w:val="000000" w:themeColor="text1"/>
                <w:u w:val="single"/>
              </w:rPr>
              <w:t>Equipment Standards</w:t>
            </w:r>
            <w:r w:rsidRPr="0058250B">
              <w:rPr>
                <w:rFonts w:ascii="Calibri" w:eastAsia="Calibri" w:hAnsi="Calibri" w:cs="Calibri"/>
                <w:color w:val="000000" w:themeColor="text1"/>
              </w:rPr>
              <w:t>: Performance standards are applied to compressors, flares, and pneumatic devices, including volumetric flow rate thresholds and destruction efficiency requirements (Tables 3 &amp; 4).</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05958E99" w:rsidR="002F0752" w:rsidRPr="00CF2E7C" w:rsidRDefault="0058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558C2825" w:rsidR="002F0752" w:rsidRPr="00CF2E7C" w:rsidRDefault="0058250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CED05DA" w:rsidR="002F0752" w:rsidRPr="00CF2E7C" w:rsidRDefault="0058250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C068A69" w:rsidR="002F0752" w:rsidRPr="00CF2E7C" w:rsidRDefault="0058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1F8AEB2" w:rsidR="002F0752" w:rsidRPr="00CF2E7C" w:rsidRDefault="0058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0C52A042" w:rsidR="002F0752" w:rsidRPr="00CF2E7C" w:rsidRDefault="0058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346BA84" w14:textId="6BF49BE6" w:rsidR="0058250B" w:rsidRPr="0058250B" w:rsidRDefault="0058250B" w:rsidP="0058250B">
            <w:pPr>
              <w:rPr>
                <w:rFonts w:ascii="Calibri" w:eastAsia="Calibri" w:hAnsi="Calibri" w:cs="Calibri"/>
                <w:color w:val="000000" w:themeColor="text1"/>
              </w:rPr>
            </w:pPr>
            <w:r w:rsidRPr="00FA1F2A">
              <w:rPr>
                <w:rFonts w:ascii="Calibri" w:eastAsia="Calibri" w:hAnsi="Calibri" w:cs="Calibri"/>
                <w:color w:val="000000" w:themeColor="text1"/>
                <w:u w:val="single"/>
              </w:rPr>
              <w:t>Benchmark for Flare Gas Combustion Efficiency</w:t>
            </w:r>
            <w:r w:rsidRPr="0058250B">
              <w:rPr>
                <w:rFonts w:ascii="Calibri" w:eastAsia="Calibri" w:hAnsi="Calibri" w:cs="Calibri"/>
                <w:color w:val="000000" w:themeColor="text1"/>
              </w:rPr>
              <w:t xml:space="preserve">: The </w:t>
            </w:r>
            <w:r>
              <w:rPr>
                <w:rFonts w:ascii="Calibri" w:eastAsia="Calibri" w:hAnsi="Calibri" w:cs="Calibri"/>
                <w:color w:val="000000" w:themeColor="text1"/>
              </w:rPr>
              <w:t>ru</w:t>
            </w:r>
            <w:r w:rsidRPr="0058250B">
              <w:rPr>
                <w:rFonts w:ascii="Calibri" w:eastAsia="Calibri" w:hAnsi="Calibri" w:cs="Calibri"/>
                <w:color w:val="000000" w:themeColor="text1"/>
              </w:rPr>
              <w:t>le requires that any flaring of associated gas must achieve a minimum of 95% destruction efficiency. This applies when flaring is allowed due to technical infeasibility of routing gas to a sales line or using it onsite (Section X.A and Table 3).</w:t>
            </w:r>
          </w:p>
          <w:p w14:paraId="78AA723E" w14:textId="783FDB1F" w:rsidR="002F0752" w:rsidRPr="00CF2E7C" w:rsidRDefault="0058250B" w:rsidP="0058250B">
            <w:pPr>
              <w:rPr>
                <w:rFonts w:ascii="Calibri" w:eastAsia="Calibri" w:hAnsi="Calibri" w:cs="Calibri"/>
                <w:color w:val="000000" w:themeColor="text1"/>
              </w:rPr>
            </w:pPr>
            <w:r w:rsidRPr="00FA1F2A">
              <w:rPr>
                <w:rFonts w:ascii="Calibri" w:eastAsia="Calibri" w:hAnsi="Calibri" w:cs="Calibri"/>
                <w:color w:val="000000" w:themeColor="text1"/>
                <w:u w:val="single"/>
              </w:rPr>
              <w:t>Pre-development Gas Capture Plans or Economic Evaluations</w:t>
            </w:r>
            <w:r w:rsidRPr="0058250B">
              <w:rPr>
                <w:rFonts w:ascii="Calibri" w:eastAsia="Calibri" w:hAnsi="Calibri" w:cs="Calibri"/>
                <w:color w:val="000000" w:themeColor="text1"/>
              </w:rPr>
              <w:t>: For new wells constructed after May 7, 2026, operators must demonstrate that routing associated gas to a sales line or using it onsite is not technically feasible before flaring is permitted</w:t>
            </w:r>
            <w:r>
              <w:rPr>
                <w:rFonts w:ascii="Calibri" w:eastAsia="Calibri" w:hAnsi="Calibri" w:cs="Calibri"/>
                <w:color w:val="000000" w:themeColor="text1"/>
              </w:rPr>
              <w:t xml:space="preserve"> </w:t>
            </w:r>
            <w:r w:rsidRPr="0058250B">
              <w:rPr>
                <w:rFonts w:ascii="Calibri" w:eastAsia="Calibri" w:hAnsi="Calibri" w:cs="Calibri"/>
                <w:color w:val="000000" w:themeColor="text1"/>
              </w:rPr>
              <w:t>(Section X.A and Table 3).</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476CE9E" w:rsidR="002F0752" w:rsidRPr="00CF2E7C" w:rsidRDefault="00EF592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58AFB3E" w:rsidR="002F0752" w:rsidRPr="00CF2E7C" w:rsidRDefault="00EF592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C8428E2" w:rsidR="002F0752" w:rsidRPr="00CF2E7C" w:rsidRDefault="00EF592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5521439C" w:rsidR="002F0752" w:rsidRPr="00CF2E7C" w:rsidRDefault="00EF592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82BABE2" w:rsidR="002F0752" w:rsidRPr="00CF2E7C" w:rsidRDefault="00EF592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3E6DF2BD" w:rsidR="002F0752" w:rsidRPr="00CF2E7C" w:rsidRDefault="00EF592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1B061D65" w:rsidR="002F0752" w:rsidRPr="00CF2E7C" w:rsidRDefault="00EF592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2B4A0C28" w:rsidR="002F0752" w:rsidRPr="00CF2E7C" w:rsidRDefault="00335D2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52C11E7E"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lastRenderedPageBreak/>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33EA46DA" w:rsidR="002F0752" w:rsidRPr="00CF2E7C" w:rsidRDefault="00B62C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lastRenderedPageBreak/>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DACDFB4" w:rsidR="002F0752" w:rsidRPr="00CF2E7C" w:rsidRDefault="00B62C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C0ED34F" w:rsidR="002F0752" w:rsidRPr="00CF2E7C" w:rsidRDefault="00B62C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FCD4C26" w:rsidR="002F0752" w:rsidRPr="00CF2E7C" w:rsidRDefault="00B62C2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B62C27" w:rsidRPr="00CF2E7C" w14:paraId="43FC1420" w14:textId="77777777" w:rsidTr="0047273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B62C27" w:rsidRPr="00CF2E7C" w:rsidRDefault="00B62C27" w:rsidP="00B62C27">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81BB53" w14:textId="0F1ADEB1" w:rsidR="00B62C27" w:rsidRPr="00CF2E7C" w:rsidRDefault="00B62C27" w:rsidP="00B62C27">
            <w:pPr>
              <w:shd w:val="clear" w:color="auto" w:fill="FFFFFF" w:themeFill="background1"/>
              <w:spacing w:before="40" w:after="40"/>
              <w:rPr>
                <w:rFonts w:ascii="Calibri" w:hAnsi="Calibri" w:cs="Calibri"/>
              </w:rPr>
            </w:pPr>
            <w:r w:rsidRPr="00D32C63">
              <w:rPr>
                <w:rFonts w:ascii="Calibri" w:eastAsia="Calibri" w:hAnsi="Calibri" w:cs="Calibri"/>
                <w:color w:val="000000" w:themeColor="text1"/>
              </w:rPr>
              <w:t>X</w:t>
            </w:r>
          </w:p>
        </w:tc>
      </w:tr>
      <w:tr w:rsidR="00B62C27" w:rsidRPr="00CF2E7C" w14:paraId="35D7AD0F" w14:textId="77777777" w:rsidTr="0047273D">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B62C27" w:rsidRPr="00CF2E7C" w:rsidRDefault="00B62C27" w:rsidP="00B62C2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DD2AA30" w14:textId="14DDEFD0" w:rsidR="00B62C27" w:rsidRPr="00CF2E7C" w:rsidRDefault="00B62C27" w:rsidP="00B62C27">
            <w:pPr>
              <w:shd w:val="clear" w:color="auto" w:fill="FFFFFF" w:themeFill="background1"/>
              <w:spacing w:before="40" w:after="40"/>
              <w:rPr>
                <w:rFonts w:ascii="Calibri" w:hAnsi="Calibri" w:cs="Calibri"/>
              </w:rPr>
            </w:pPr>
            <w:r w:rsidRPr="00D32C63">
              <w:rPr>
                <w:rFonts w:ascii="Calibri" w:eastAsia="Calibri" w:hAnsi="Calibri" w:cs="Calibri"/>
                <w:color w:val="000000" w:themeColor="text1"/>
              </w:rPr>
              <w:t>X</w:t>
            </w:r>
          </w:p>
        </w:tc>
      </w:tr>
      <w:tr w:rsidR="00B62C27" w:rsidRPr="00CF2E7C" w14:paraId="41BAE1A2" w14:textId="77777777" w:rsidTr="0047273D">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B62C27" w:rsidRPr="00CF2E7C" w:rsidRDefault="00B62C27" w:rsidP="00B62C2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262C20B" w14:textId="2145CB4B" w:rsidR="00B62C27" w:rsidRPr="00CF2E7C" w:rsidRDefault="00B62C27" w:rsidP="00B62C27">
            <w:pPr>
              <w:shd w:val="clear" w:color="auto" w:fill="FFFFFF" w:themeFill="background1"/>
              <w:spacing w:before="40" w:after="40"/>
              <w:rPr>
                <w:rFonts w:ascii="Calibri" w:hAnsi="Calibri" w:cs="Calibri"/>
              </w:rPr>
            </w:pPr>
            <w:r w:rsidRPr="00D32C63">
              <w:rPr>
                <w:rFonts w:ascii="Calibri" w:eastAsia="Calibri" w:hAnsi="Calibri" w:cs="Calibri"/>
                <w:color w:val="000000" w:themeColor="text1"/>
              </w:rPr>
              <w:t>X</w:t>
            </w:r>
          </w:p>
        </w:tc>
      </w:tr>
      <w:tr w:rsidR="00B62C27" w:rsidRPr="00CF2E7C" w14:paraId="795C2603" w14:textId="77777777" w:rsidTr="0047273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B62C27" w:rsidRPr="00CF2E7C" w:rsidRDefault="00B62C27" w:rsidP="00B62C27">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35EDD49" w14:textId="0D94AFBA" w:rsidR="00B62C27" w:rsidRPr="00CF2E7C" w:rsidRDefault="00B62C27" w:rsidP="00B62C27">
            <w:pPr>
              <w:shd w:val="clear" w:color="auto" w:fill="FFFFFF" w:themeFill="background1"/>
              <w:spacing w:before="40" w:after="40"/>
              <w:rPr>
                <w:rFonts w:ascii="Calibri" w:hAnsi="Calibri" w:cs="Calibri"/>
              </w:rPr>
            </w:pPr>
            <w:r w:rsidRPr="00D32C63">
              <w:rPr>
                <w:rFonts w:ascii="Calibri" w:eastAsia="Calibri" w:hAnsi="Calibri" w:cs="Calibri"/>
                <w:color w:val="000000" w:themeColor="text1"/>
              </w:rPr>
              <w:t>X</w:t>
            </w:r>
          </w:p>
        </w:tc>
      </w:tr>
      <w:tr w:rsidR="00B62C27" w:rsidRPr="00CF2E7C" w14:paraId="72276A0E" w14:textId="77777777" w:rsidTr="0047273D">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B62C27" w:rsidRPr="00CF2E7C" w:rsidRDefault="00B62C27" w:rsidP="00B62C27">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91CD515" w14:textId="1C261DE2" w:rsidR="00B62C27" w:rsidRPr="00CF2E7C" w:rsidRDefault="00B62C27" w:rsidP="00B62C27">
            <w:pPr>
              <w:shd w:val="clear" w:color="auto" w:fill="FFFFFF" w:themeFill="background1"/>
              <w:spacing w:before="40" w:after="40"/>
              <w:rPr>
                <w:rFonts w:ascii="Calibri" w:hAnsi="Calibri" w:cs="Calibri"/>
              </w:rPr>
            </w:pPr>
            <w:r w:rsidRPr="00D32C63">
              <w:rPr>
                <w:rFonts w:ascii="Calibri" w:eastAsia="Calibri" w:hAnsi="Calibri" w:cs="Calibri"/>
                <w:color w:val="000000" w:themeColor="text1"/>
              </w:rPr>
              <w:t>X</w:t>
            </w:r>
          </w:p>
        </w:tc>
      </w:tr>
      <w:tr w:rsidR="00B62C27" w:rsidRPr="00CF2E7C" w14:paraId="0A57C1D5" w14:textId="77777777" w:rsidTr="0047273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B62C27" w:rsidRPr="00CF2E7C" w:rsidRDefault="00B62C27" w:rsidP="00B62C27">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A321E3" w14:textId="7D551A20" w:rsidR="00B62C27" w:rsidRPr="00CF2E7C" w:rsidRDefault="00B62C27" w:rsidP="00B62C27">
            <w:pPr>
              <w:shd w:val="clear" w:color="auto" w:fill="FFFFFF" w:themeFill="background1"/>
              <w:spacing w:before="40" w:after="40"/>
              <w:rPr>
                <w:rFonts w:ascii="Calibri" w:hAnsi="Calibri" w:cs="Calibri"/>
              </w:rPr>
            </w:pPr>
            <w:r w:rsidRPr="00D32C63">
              <w:rPr>
                <w:rFonts w:ascii="Calibri" w:eastAsia="Calibri" w:hAnsi="Calibri" w:cs="Calibri"/>
                <w:color w:val="000000" w:themeColor="text1"/>
              </w:rPr>
              <w:t>X</w:t>
            </w:r>
          </w:p>
        </w:tc>
      </w:tr>
      <w:tr w:rsidR="00B62C27" w:rsidRPr="00CF2E7C" w14:paraId="3246DA89" w14:textId="77777777" w:rsidTr="0047273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B62C27" w:rsidRPr="00CF2E7C" w:rsidRDefault="00B62C27" w:rsidP="00B62C27">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F27387" w14:textId="44D83237" w:rsidR="00B62C27" w:rsidRPr="00CF2E7C" w:rsidRDefault="00B62C27" w:rsidP="00B62C27">
            <w:pPr>
              <w:shd w:val="clear" w:color="auto" w:fill="FFFFFF" w:themeFill="background1"/>
              <w:spacing w:before="40" w:after="40"/>
              <w:rPr>
                <w:rFonts w:ascii="Calibri" w:hAnsi="Calibri" w:cs="Calibri"/>
              </w:rPr>
            </w:pPr>
            <w:r w:rsidRPr="00D32C63">
              <w:rPr>
                <w:rFonts w:ascii="Calibri" w:eastAsia="Calibri" w:hAnsi="Calibri" w:cs="Calibri"/>
                <w:color w:val="000000" w:themeColor="text1"/>
              </w:rPr>
              <w:t>X</w:t>
            </w:r>
          </w:p>
        </w:tc>
      </w:tr>
      <w:tr w:rsidR="00B62C27" w:rsidRPr="00CF2E7C" w14:paraId="545A9E89" w14:textId="77777777" w:rsidTr="0047273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B62C27" w:rsidRPr="00CF2E7C" w:rsidRDefault="00B62C27" w:rsidP="00B62C27">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0DAC8EB" w14:textId="350B33BC" w:rsidR="00B62C27" w:rsidRPr="00CF2E7C" w:rsidRDefault="00B62C27" w:rsidP="00B62C27">
            <w:pPr>
              <w:shd w:val="clear" w:color="auto" w:fill="FFFFFF" w:themeFill="background1"/>
              <w:spacing w:before="40" w:after="40"/>
              <w:rPr>
                <w:rFonts w:ascii="Calibri" w:hAnsi="Calibri" w:cs="Calibri"/>
              </w:rPr>
            </w:pPr>
            <w:r w:rsidRPr="00D32C63">
              <w:rPr>
                <w:rFonts w:ascii="Calibri" w:eastAsia="Calibri" w:hAnsi="Calibri" w:cs="Calibri"/>
                <w:color w:val="000000" w:themeColor="text1"/>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16DEE97E" w:rsidR="002F0752" w:rsidRPr="00CF2E7C" w:rsidRDefault="00B62C27"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9CC7F47" w:rsidR="002F0752" w:rsidRPr="00CF2E7C" w:rsidRDefault="00B62C27" w:rsidP="00CF2E7C">
            <w:pPr>
              <w:shd w:val="clear" w:color="auto" w:fill="FFFFFF" w:themeFill="background1"/>
              <w:spacing w:before="40" w:after="40"/>
              <w:rPr>
                <w:rFonts w:ascii="Calibri" w:hAnsi="Calibri" w:cs="Calibri"/>
              </w:rPr>
            </w:pPr>
            <w:r>
              <w:rPr>
                <w:rFonts w:ascii="Calibri" w:eastAsia="Calibri" w:hAnsi="Calibri" w:cs="Calibri"/>
                <w:color w:val="000000" w:themeColor="text1"/>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00B04FAF" w:rsidR="002F0752" w:rsidRPr="00CF2E7C" w:rsidRDefault="00B62C27"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B62C27" w:rsidRPr="00CF2E7C" w14:paraId="75DC00FB" w14:textId="77777777" w:rsidTr="00B7733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B62C27" w:rsidRPr="00CF2E7C" w:rsidRDefault="00B62C27" w:rsidP="00B62C27">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FF2EF88" w14:textId="0F05A07E" w:rsidR="00B62C27" w:rsidRPr="00CF2E7C" w:rsidRDefault="00B62C27" w:rsidP="00B62C27">
            <w:pPr>
              <w:shd w:val="clear" w:color="auto" w:fill="FFFFFF" w:themeFill="background1"/>
              <w:spacing w:before="40" w:after="40"/>
              <w:rPr>
                <w:rFonts w:ascii="Calibri" w:hAnsi="Calibri" w:cs="Calibri"/>
              </w:rPr>
            </w:pPr>
            <w:r w:rsidRPr="00C02643">
              <w:rPr>
                <w:rFonts w:ascii="Calibri" w:eastAsia="Calibri" w:hAnsi="Calibri" w:cs="Calibri"/>
                <w:color w:val="000000" w:themeColor="text1"/>
              </w:rPr>
              <w:t>X</w:t>
            </w:r>
          </w:p>
        </w:tc>
      </w:tr>
      <w:tr w:rsidR="00B62C27" w:rsidRPr="00CF2E7C" w14:paraId="01E9784E" w14:textId="77777777" w:rsidTr="00B7733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B62C27" w:rsidRPr="00CF2E7C" w:rsidRDefault="00B62C27" w:rsidP="00B62C2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F5772B" w14:textId="65EAC954" w:rsidR="00B62C27" w:rsidRPr="00CF2E7C" w:rsidRDefault="00B62C27" w:rsidP="00B62C27">
            <w:pPr>
              <w:shd w:val="clear" w:color="auto" w:fill="FFFFFF" w:themeFill="background1"/>
              <w:spacing w:before="40" w:after="40"/>
              <w:rPr>
                <w:rFonts w:ascii="Calibri" w:hAnsi="Calibri" w:cs="Calibri"/>
              </w:rPr>
            </w:pPr>
            <w:r w:rsidRPr="00C02643">
              <w:rPr>
                <w:rFonts w:ascii="Calibri" w:eastAsia="Calibri" w:hAnsi="Calibri" w:cs="Calibri"/>
                <w:color w:val="000000" w:themeColor="text1"/>
              </w:rPr>
              <w:t>X</w:t>
            </w:r>
          </w:p>
        </w:tc>
      </w:tr>
      <w:tr w:rsidR="00B62C27" w:rsidRPr="00CF2E7C" w14:paraId="7D5B7483" w14:textId="77777777" w:rsidTr="00B7733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B62C27" w:rsidRPr="00CF2E7C" w:rsidRDefault="00B62C27" w:rsidP="00B62C2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82E2558" w14:textId="7B3A8742" w:rsidR="00B62C27" w:rsidRPr="00CF2E7C" w:rsidRDefault="00B62C27" w:rsidP="00B62C27">
            <w:pPr>
              <w:shd w:val="clear" w:color="auto" w:fill="FFFFFF" w:themeFill="background1"/>
              <w:spacing w:before="40" w:after="40"/>
              <w:rPr>
                <w:rFonts w:ascii="Calibri" w:hAnsi="Calibri" w:cs="Calibri"/>
              </w:rPr>
            </w:pPr>
            <w:r w:rsidRPr="00C02643">
              <w:rPr>
                <w:rFonts w:ascii="Calibri" w:eastAsia="Calibri" w:hAnsi="Calibri" w:cs="Calibri"/>
                <w:color w:val="000000" w:themeColor="text1"/>
              </w:rPr>
              <w:t>X</w:t>
            </w:r>
          </w:p>
        </w:tc>
      </w:tr>
      <w:tr w:rsidR="00B62C27" w:rsidRPr="00CF2E7C" w14:paraId="1C46297D" w14:textId="77777777" w:rsidTr="00B7733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B62C27" w:rsidRPr="00CF2E7C" w:rsidRDefault="00B62C27" w:rsidP="00B62C2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F60B680" w14:textId="0F63F6D3" w:rsidR="00B62C27" w:rsidRPr="00CF2E7C" w:rsidRDefault="00B62C27" w:rsidP="00B62C27">
            <w:pPr>
              <w:shd w:val="clear" w:color="auto" w:fill="FFFFFF" w:themeFill="background1"/>
              <w:spacing w:before="40" w:after="40"/>
              <w:rPr>
                <w:rFonts w:ascii="Calibri" w:hAnsi="Calibri" w:cs="Calibri"/>
              </w:rPr>
            </w:pPr>
            <w:r w:rsidRPr="00C02643">
              <w:rPr>
                <w:rFonts w:ascii="Calibri" w:eastAsia="Calibri" w:hAnsi="Calibri" w:cs="Calibri"/>
                <w:color w:val="000000" w:themeColor="text1"/>
              </w:rPr>
              <w:t>X</w:t>
            </w:r>
          </w:p>
        </w:tc>
      </w:tr>
      <w:tr w:rsidR="00B62C27" w:rsidRPr="00CF2E7C" w14:paraId="5E6DFD3A" w14:textId="77777777" w:rsidTr="00B7733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B62C27" w:rsidRPr="00CF2E7C" w:rsidRDefault="00B62C27" w:rsidP="00B62C27">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55E519F" w14:textId="0900BC45" w:rsidR="00B62C27" w:rsidRPr="00CF2E7C" w:rsidRDefault="00B62C27" w:rsidP="00B62C27">
            <w:pPr>
              <w:shd w:val="clear" w:color="auto" w:fill="FFFFFF" w:themeFill="background1"/>
              <w:spacing w:before="40" w:after="40"/>
              <w:rPr>
                <w:rFonts w:ascii="Calibri" w:hAnsi="Calibri" w:cs="Calibri"/>
              </w:rPr>
            </w:pPr>
            <w:r w:rsidRPr="00C02643">
              <w:rPr>
                <w:rFonts w:ascii="Calibri" w:eastAsia="Calibri" w:hAnsi="Calibri" w:cs="Calibri"/>
                <w:color w:val="000000" w:themeColor="text1"/>
              </w:rPr>
              <w:t>X</w:t>
            </w:r>
          </w:p>
        </w:tc>
      </w:tr>
      <w:tr w:rsidR="00B62C27" w:rsidRPr="00CF2E7C" w14:paraId="6C6C84BC" w14:textId="77777777" w:rsidTr="00B7733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B62C27" w:rsidRPr="00CF2E7C" w:rsidRDefault="00B62C27" w:rsidP="00B62C2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B62C27" w:rsidRPr="00CF2E7C" w:rsidRDefault="00B62C27" w:rsidP="00B62C27">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B62C27" w:rsidRPr="00CF2E7C" w:rsidRDefault="00B62C27" w:rsidP="00B62C2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B62C27" w:rsidRPr="00CF2E7C" w:rsidRDefault="00B62C27" w:rsidP="00B62C2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6E93A3F" w14:textId="7C435EB5" w:rsidR="00B62C27" w:rsidRPr="00CF2E7C" w:rsidRDefault="00B62C27" w:rsidP="00B62C27">
            <w:pPr>
              <w:shd w:val="clear" w:color="auto" w:fill="FFFFFF" w:themeFill="background1"/>
              <w:spacing w:before="40" w:after="40"/>
              <w:rPr>
                <w:rFonts w:ascii="Calibri" w:hAnsi="Calibri" w:cs="Calibri"/>
              </w:rPr>
            </w:pPr>
            <w:r w:rsidRPr="00C02643">
              <w:rPr>
                <w:rFonts w:ascii="Calibri" w:eastAsia="Calibri" w:hAnsi="Calibri" w:cs="Calibri"/>
                <w:color w:val="000000" w:themeColor="text1"/>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D175B9" w14:textId="77777777" w:rsidR="001F55D7" w:rsidRDefault="001F55D7" w:rsidP="001F55D7">
            <w:pPr>
              <w:rPr>
                <w:rFonts w:ascii="Calibri" w:hAnsi="Calibri" w:cs="Calibri"/>
              </w:rPr>
            </w:pPr>
            <w:r>
              <w:rPr>
                <w:rFonts w:ascii="Calibri" w:hAnsi="Calibri" w:cs="Calibri"/>
              </w:rPr>
              <w:t>Required:</w:t>
            </w:r>
          </w:p>
          <w:p w14:paraId="7FFA0267" w14:textId="77999665" w:rsidR="001F55D7" w:rsidRPr="001F55D7" w:rsidRDefault="001F55D7" w:rsidP="001F55D7">
            <w:pPr>
              <w:pStyle w:val="ListParagraph"/>
              <w:numPr>
                <w:ilvl w:val="0"/>
                <w:numId w:val="55"/>
              </w:numPr>
              <w:rPr>
                <w:rFonts w:ascii="Calibri" w:hAnsi="Calibri" w:cs="Calibri"/>
              </w:rPr>
            </w:pPr>
            <w:r w:rsidRPr="001F55D7">
              <w:rPr>
                <w:rFonts w:ascii="Calibri" w:hAnsi="Calibri" w:cs="Calibri"/>
              </w:rPr>
              <w:t>ASME/ANSI PTC 19.10–1981 – Flue and Exhaust Gas Analyses (Section 60.17(g)(14), page 17034)</w:t>
            </w:r>
          </w:p>
          <w:p w14:paraId="353B1444" w14:textId="5A2B9C06" w:rsidR="001F55D7" w:rsidRPr="001F55D7" w:rsidRDefault="001F55D7" w:rsidP="001F55D7">
            <w:pPr>
              <w:pStyle w:val="ListParagraph"/>
              <w:numPr>
                <w:ilvl w:val="0"/>
                <w:numId w:val="55"/>
              </w:numPr>
              <w:rPr>
                <w:rFonts w:ascii="Calibri" w:hAnsi="Calibri" w:cs="Calibri"/>
              </w:rPr>
            </w:pPr>
            <w:r w:rsidRPr="001F55D7">
              <w:rPr>
                <w:rFonts w:ascii="Calibri" w:hAnsi="Calibri" w:cs="Calibri"/>
              </w:rPr>
              <w:t>ASTM D3588–98(R2003) – Heat Value of Gaseous Fuels (Section 60.17(h)(3), page 17034)</w:t>
            </w:r>
          </w:p>
          <w:p w14:paraId="36854F71" w14:textId="560D6B6B" w:rsidR="001F55D7" w:rsidRPr="001F55D7" w:rsidRDefault="001F55D7" w:rsidP="001F55D7">
            <w:pPr>
              <w:pStyle w:val="ListParagraph"/>
              <w:numPr>
                <w:ilvl w:val="0"/>
                <w:numId w:val="55"/>
              </w:numPr>
              <w:rPr>
                <w:rFonts w:ascii="Calibri" w:hAnsi="Calibri" w:cs="Calibri"/>
              </w:rPr>
            </w:pPr>
            <w:r w:rsidRPr="001F55D7">
              <w:rPr>
                <w:rFonts w:ascii="Calibri" w:hAnsi="Calibri" w:cs="Calibri"/>
              </w:rPr>
              <w:t>ASTM D4891–89(R2006) – Heating Value of Gases (Section 60.17(h)(4), page 17034)</w:t>
            </w:r>
          </w:p>
          <w:p w14:paraId="63AD086C" w14:textId="5BDECE85" w:rsidR="002F0752" w:rsidRPr="001F55D7" w:rsidRDefault="001F55D7" w:rsidP="001F55D7">
            <w:pPr>
              <w:pStyle w:val="ListParagraph"/>
              <w:numPr>
                <w:ilvl w:val="0"/>
                <w:numId w:val="55"/>
              </w:numPr>
              <w:rPr>
                <w:rFonts w:ascii="Calibri" w:hAnsi="Calibri" w:cs="Calibri"/>
              </w:rPr>
            </w:pPr>
            <w:r w:rsidRPr="001F55D7">
              <w:rPr>
                <w:rFonts w:ascii="Calibri" w:hAnsi="Calibri" w:cs="Calibri"/>
              </w:rPr>
              <w:t>EPA–454/B–08–002 – Meteorological Monitoring Guidance (Section 60.17, page 17034)</w:t>
            </w:r>
          </w:p>
          <w:p w14:paraId="01BAB15A" w14:textId="77777777" w:rsidR="001F55D7" w:rsidRDefault="001F55D7" w:rsidP="001F55D7">
            <w:pPr>
              <w:rPr>
                <w:rFonts w:ascii="Calibri" w:hAnsi="Calibri" w:cs="Calibri"/>
              </w:rPr>
            </w:pPr>
            <w:r>
              <w:rPr>
                <w:rFonts w:ascii="Calibri" w:hAnsi="Calibri" w:cs="Calibri"/>
              </w:rPr>
              <w:t>Referenced:</w:t>
            </w:r>
          </w:p>
          <w:p w14:paraId="279F08BE" w14:textId="335C50EE" w:rsidR="001F55D7" w:rsidRPr="001F55D7" w:rsidRDefault="001F55D7" w:rsidP="001F55D7">
            <w:pPr>
              <w:pStyle w:val="ListParagraph"/>
              <w:numPr>
                <w:ilvl w:val="0"/>
                <w:numId w:val="56"/>
              </w:numPr>
              <w:rPr>
                <w:rFonts w:ascii="Calibri" w:hAnsi="Calibri" w:cs="Calibri"/>
              </w:rPr>
            </w:pPr>
            <w:r w:rsidRPr="001F55D7">
              <w:rPr>
                <w:rFonts w:ascii="Calibri" w:hAnsi="Calibri" w:cs="Calibri"/>
              </w:rPr>
              <w:t>Appendix K – Optical Gas Imaging Protocol (Section Summary and Section 60.5397b, pages 16820 and 17066)</w:t>
            </w:r>
          </w:p>
          <w:p w14:paraId="1B1F1ADF" w14:textId="77777777" w:rsidR="001F55D7" w:rsidRPr="001F55D7" w:rsidRDefault="001F55D7" w:rsidP="001F55D7">
            <w:pPr>
              <w:pStyle w:val="ListParagraph"/>
              <w:numPr>
                <w:ilvl w:val="0"/>
                <w:numId w:val="56"/>
              </w:numPr>
              <w:rPr>
                <w:rFonts w:ascii="Calibri" w:hAnsi="Calibri" w:cs="Calibri"/>
              </w:rPr>
            </w:pPr>
            <w:r w:rsidRPr="001F55D7">
              <w:rPr>
                <w:rFonts w:ascii="Calibri" w:hAnsi="Calibri" w:cs="Calibri"/>
              </w:rPr>
              <w:t>EPA Natural Gas STAR and Methane Challenge Programs (Section VI.B, page 16861)</w:t>
            </w:r>
          </w:p>
          <w:p w14:paraId="1356992F" w14:textId="77777777" w:rsidR="001F55D7" w:rsidRPr="001F55D7" w:rsidRDefault="001F55D7" w:rsidP="001F55D7">
            <w:pPr>
              <w:pStyle w:val="ListParagraph"/>
              <w:numPr>
                <w:ilvl w:val="0"/>
                <w:numId w:val="56"/>
              </w:numPr>
              <w:rPr>
                <w:rFonts w:ascii="Calibri" w:hAnsi="Calibri" w:cs="Calibri"/>
              </w:rPr>
            </w:pPr>
            <w:r w:rsidRPr="001F55D7">
              <w:rPr>
                <w:rFonts w:ascii="Calibri" w:hAnsi="Calibri" w:cs="Calibri"/>
              </w:rPr>
              <w:t>EPA Greenhouse Gas Reporting Program (GHGRP) Subpart W (Section VI.C, page 16862)</w:t>
            </w:r>
          </w:p>
          <w:p w14:paraId="216F1CD0" w14:textId="7C3F4E14" w:rsidR="001F55D7" w:rsidRPr="001F55D7" w:rsidRDefault="001F55D7" w:rsidP="001F55D7">
            <w:pPr>
              <w:pStyle w:val="ListParagraph"/>
              <w:numPr>
                <w:ilvl w:val="0"/>
                <w:numId w:val="56"/>
              </w:numPr>
              <w:rPr>
                <w:rFonts w:ascii="Calibri" w:hAnsi="Calibri" w:cs="Calibri"/>
              </w:rPr>
            </w:pPr>
            <w:r w:rsidRPr="001F55D7">
              <w:rPr>
                <w:rFonts w:ascii="Calibri" w:hAnsi="Calibri" w:cs="Calibri"/>
              </w:rPr>
              <w:t>Estimating PM2.5 and Ozone-Attributable Health Benefits (EPA TSD) (Section II.C, page 16836)</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bookmarkEnd w:id="0"/>
    <w:p w14:paraId="2AF280E9" w14:textId="63D81E36" w:rsidR="33822AF7" w:rsidRDefault="00972AEF" w:rsidP="00972AEF">
      <w:pPr>
        <w:pStyle w:val="DocID"/>
      </w:pPr>
      <w:r>
        <w:fldChar w:fldCharType="begin"/>
      </w:r>
      <w:r>
        <w:instrText xml:space="preserve"> DOCPROPERTY DOCXDOCID DMS=IManage Format=&lt;&lt;NUM&gt;&gt;v.&lt;&lt;VER&gt;&gt; \* MERGEFORMAT </w:instrText>
      </w:r>
      <w:r>
        <w:fldChar w:fldCharType="separate"/>
      </w:r>
      <w:r w:rsidRPr="00972AEF">
        <w:t>530066524v.1</w:t>
      </w:r>
      <w:r>
        <w:fldChar w:fldCharType="end"/>
      </w:r>
    </w:p>
    <w:sectPr w:rsidR="33822AF7" w:rsidSect="00E20574">
      <w:headerReference w:type="default" r:id="rId2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3BD9A7" w14:textId="77777777" w:rsidR="006D4578" w:rsidRDefault="006D4578" w:rsidP="00874E39">
      <w:r>
        <w:separator/>
      </w:r>
    </w:p>
  </w:endnote>
  <w:endnote w:type="continuationSeparator" w:id="0">
    <w:p w14:paraId="0CA63852" w14:textId="77777777" w:rsidR="006D4578" w:rsidRDefault="006D4578" w:rsidP="00874E39">
      <w:r>
        <w:continuationSeparator/>
      </w:r>
    </w:p>
  </w:endnote>
  <w:endnote w:type="continuationNotice" w:id="1">
    <w:p w14:paraId="17DA94A2" w14:textId="77777777" w:rsidR="006D4578" w:rsidRDefault="006D45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2FF9F61"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6D0CC1" w14:textId="77777777" w:rsidR="006D4578" w:rsidRDefault="006D4578" w:rsidP="00874E39">
      <w:r>
        <w:separator/>
      </w:r>
    </w:p>
  </w:footnote>
  <w:footnote w:type="continuationSeparator" w:id="0">
    <w:p w14:paraId="125B5C36" w14:textId="77777777" w:rsidR="006D4578" w:rsidRDefault="006D4578" w:rsidP="00874E39">
      <w:r>
        <w:continuationSeparator/>
      </w:r>
    </w:p>
  </w:footnote>
  <w:footnote w:type="continuationNotice" w:id="1">
    <w:p w14:paraId="0AC30A3C" w14:textId="77777777" w:rsidR="006D4578" w:rsidRDefault="006D457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590187" w14:textId="77777777" w:rsidR="00DF2863" w:rsidRDefault="00DF286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712D0" w14:textId="77777777" w:rsidR="00DF2863" w:rsidRDefault="00DF286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4B6B34"/>
    <w:multiLevelType w:val="hybridMultilevel"/>
    <w:tmpl w:val="125EF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0484F77"/>
    <w:multiLevelType w:val="hybridMultilevel"/>
    <w:tmpl w:val="7B4A2E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56D72F4"/>
    <w:multiLevelType w:val="hybridMultilevel"/>
    <w:tmpl w:val="809A19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D892466"/>
    <w:multiLevelType w:val="hybridMultilevel"/>
    <w:tmpl w:val="1FB0F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D1241EB"/>
    <w:multiLevelType w:val="hybridMultilevel"/>
    <w:tmpl w:val="46162D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6993C72"/>
    <w:multiLevelType w:val="hybridMultilevel"/>
    <w:tmpl w:val="53EC1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88454F0"/>
    <w:multiLevelType w:val="hybridMultilevel"/>
    <w:tmpl w:val="81040E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6AD6552C"/>
    <w:multiLevelType w:val="hybridMultilevel"/>
    <w:tmpl w:val="A322CD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7"/>
  </w:num>
  <w:num w:numId="3" w16cid:durableId="690952733">
    <w:abstractNumId w:val="47"/>
  </w:num>
  <w:num w:numId="4" w16cid:durableId="1689330127">
    <w:abstractNumId w:val="1"/>
  </w:num>
  <w:num w:numId="5" w16cid:durableId="401291788">
    <w:abstractNumId w:val="32"/>
  </w:num>
  <w:num w:numId="6" w16cid:durableId="1276788690">
    <w:abstractNumId w:val="16"/>
  </w:num>
  <w:num w:numId="7" w16cid:durableId="566767730">
    <w:abstractNumId w:val="24"/>
  </w:num>
  <w:num w:numId="8" w16cid:durableId="1780710843">
    <w:abstractNumId w:val="38"/>
  </w:num>
  <w:num w:numId="9" w16cid:durableId="1685783054">
    <w:abstractNumId w:val="4"/>
  </w:num>
  <w:num w:numId="10" w16cid:durableId="950551298">
    <w:abstractNumId w:val="35"/>
  </w:num>
  <w:num w:numId="11" w16cid:durableId="1591960799">
    <w:abstractNumId w:val="55"/>
  </w:num>
  <w:num w:numId="12" w16cid:durableId="1344891410">
    <w:abstractNumId w:val="11"/>
  </w:num>
  <w:num w:numId="13" w16cid:durableId="2023899324">
    <w:abstractNumId w:val="13"/>
  </w:num>
  <w:num w:numId="14" w16cid:durableId="430587014">
    <w:abstractNumId w:val="9"/>
  </w:num>
  <w:num w:numId="15" w16cid:durableId="1742869061">
    <w:abstractNumId w:val="34"/>
  </w:num>
  <w:num w:numId="16" w16cid:durableId="1996450437">
    <w:abstractNumId w:val="23"/>
  </w:num>
  <w:num w:numId="17" w16cid:durableId="1529031027">
    <w:abstractNumId w:val="10"/>
  </w:num>
  <w:num w:numId="18" w16cid:durableId="568614617">
    <w:abstractNumId w:val="21"/>
  </w:num>
  <w:num w:numId="19" w16cid:durableId="1530605858">
    <w:abstractNumId w:val="50"/>
  </w:num>
  <w:num w:numId="20" w16cid:durableId="1328172586">
    <w:abstractNumId w:val="19"/>
  </w:num>
  <w:num w:numId="21" w16cid:durableId="184827816">
    <w:abstractNumId w:val="31"/>
  </w:num>
  <w:num w:numId="22" w16cid:durableId="1785346599">
    <w:abstractNumId w:val="37"/>
  </w:num>
  <w:num w:numId="23" w16cid:durableId="1294288901">
    <w:abstractNumId w:val="30"/>
  </w:num>
  <w:num w:numId="24" w16cid:durableId="1603957975">
    <w:abstractNumId w:val="52"/>
  </w:num>
  <w:num w:numId="25" w16cid:durableId="1659531047">
    <w:abstractNumId w:val="51"/>
  </w:num>
  <w:num w:numId="26" w16cid:durableId="752774403">
    <w:abstractNumId w:val="26"/>
  </w:num>
  <w:num w:numId="27" w16cid:durableId="347872198">
    <w:abstractNumId w:val="7"/>
  </w:num>
  <w:num w:numId="28" w16cid:durableId="537133110">
    <w:abstractNumId w:val="15"/>
  </w:num>
  <w:num w:numId="29" w16cid:durableId="1632318729">
    <w:abstractNumId w:val="53"/>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2"/>
  </w:num>
  <w:num w:numId="36" w16cid:durableId="1952588250">
    <w:abstractNumId w:val="41"/>
  </w:num>
  <w:num w:numId="37" w16cid:durableId="1712027211">
    <w:abstractNumId w:val="5"/>
  </w:num>
  <w:num w:numId="38" w16cid:durableId="2033795929">
    <w:abstractNumId w:val="3"/>
  </w:num>
  <w:num w:numId="39" w16cid:durableId="1238595582">
    <w:abstractNumId w:val="28"/>
  </w:num>
  <w:num w:numId="40" w16cid:durableId="416558262">
    <w:abstractNumId w:val="25"/>
  </w:num>
  <w:num w:numId="41" w16cid:durableId="1543715517">
    <w:abstractNumId w:val="22"/>
  </w:num>
  <w:num w:numId="42" w16cid:durableId="452208391">
    <w:abstractNumId w:val="17"/>
  </w:num>
  <w:num w:numId="43" w16cid:durableId="260340070">
    <w:abstractNumId w:val="0"/>
  </w:num>
  <w:num w:numId="44" w16cid:durableId="1639914969">
    <w:abstractNumId w:val="6"/>
  </w:num>
  <w:num w:numId="45" w16cid:durableId="1554191892">
    <w:abstractNumId w:val="45"/>
  </w:num>
  <w:num w:numId="46" w16cid:durableId="947811845">
    <w:abstractNumId w:val="54"/>
  </w:num>
  <w:num w:numId="47" w16cid:durableId="342588554">
    <w:abstractNumId w:val="29"/>
  </w:num>
  <w:num w:numId="48" w16cid:durableId="318391343">
    <w:abstractNumId w:val="40"/>
  </w:num>
  <w:num w:numId="49" w16cid:durableId="1924869543">
    <w:abstractNumId w:val="8"/>
  </w:num>
  <w:num w:numId="50" w16cid:durableId="563419543">
    <w:abstractNumId w:val="49"/>
  </w:num>
  <w:num w:numId="51" w16cid:durableId="580605970">
    <w:abstractNumId w:val="48"/>
  </w:num>
  <w:num w:numId="52" w16cid:durableId="1692877680">
    <w:abstractNumId w:val="46"/>
  </w:num>
  <w:num w:numId="53" w16cid:durableId="11228376">
    <w:abstractNumId w:val="14"/>
  </w:num>
  <w:num w:numId="54" w16cid:durableId="1846241710">
    <w:abstractNumId w:val="2"/>
  </w:num>
  <w:num w:numId="55" w16cid:durableId="1720937980">
    <w:abstractNumId w:val="18"/>
  </w:num>
  <w:num w:numId="56" w16cid:durableId="560293459">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2"/>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242"/>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65D"/>
    <w:rsid w:val="0007068D"/>
    <w:rsid w:val="00071C1F"/>
    <w:rsid w:val="0007502A"/>
    <w:rsid w:val="00075B10"/>
    <w:rsid w:val="000779A3"/>
    <w:rsid w:val="0008098E"/>
    <w:rsid w:val="00080D39"/>
    <w:rsid w:val="00083507"/>
    <w:rsid w:val="000844F5"/>
    <w:rsid w:val="00084827"/>
    <w:rsid w:val="00084B66"/>
    <w:rsid w:val="0008541F"/>
    <w:rsid w:val="00086F21"/>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A82"/>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2BD"/>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7691"/>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D48"/>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5D7"/>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23F"/>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329"/>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A4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92F"/>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D20"/>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19D"/>
    <w:rsid w:val="003514EB"/>
    <w:rsid w:val="00352152"/>
    <w:rsid w:val="003525D5"/>
    <w:rsid w:val="00353C12"/>
    <w:rsid w:val="003540A1"/>
    <w:rsid w:val="003544E0"/>
    <w:rsid w:val="00356F03"/>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3E92"/>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4E4"/>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3FA3"/>
    <w:rsid w:val="00434724"/>
    <w:rsid w:val="00434B6A"/>
    <w:rsid w:val="0043666A"/>
    <w:rsid w:val="00436F24"/>
    <w:rsid w:val="0043774D"/>
    <w:rsid w:val="00437B11"/>
    <w:rsid w:val="004405AC"/>
    <w:rsid w:val="0044106D"/>
    <w:rsid w:val="004419AC"/>
    <w:rsid w:val="00444D51"/>
    <w:rsid w:val="004458E0"/>
    <w:rsid w:val="004474C7"/>
    <w:rsid w:val="00450AD7"/>
    <w:rsid w:val="00450C15"/>
    <w:rsid w:val="004514AB"/>
    <w:rsid w:val="00452F13"/>
    <w:rsid w:val="004557A1"/>
    <w:rsid w:val="00455E1B"/>
    <w:rsid w:val="00460A6D"/>
    <w:rsid w:val="00461552"/>
    <w:rsid w:val="00463D40"/>
    <w:rsid w:val="00464482"/>
    <w:rsid w:val="00464C5E"/>
    <w:rsid w:val="0046509D"/>
    <w:rsid w:val="00465B8D"/>
    <w:rsid w:val="00465BE4"/>
    <w:rsid w:val="00467A1C"/>
    <w:rsid w:val="00470095"/>
    <w:rsid w:val="00470D19"/>
    <w:rsid w:val="004711F3"/>
    <w:rsid w:val="00472360"/>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3CD9"/>
    <w:rsid w:val="004F40B6"/>
    <w:rsid w:val="004F48E8"/>
    <w:rsid w:val="004F5354"/>
    <w:rsid w:val="004F5DA1"/>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50B"/>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0B09"/>
    <w:rsid w:val="005F1EF0"/>
    <w:rsid w:val="005F2454"/>
    <w:rsid w:val="005F2B91"/>
    <w:rsid w:val="005F2D73"/>
    <w:rsid w:val="005F2EA1"/>
    <w:rsid w:val="005F3137"/>
    <w:rsid w:val="005F444D"/>
    <w:rsid w:val="005F4B1C"/>
    <w:rsid w:val="005F4D8C"/>
    <w:rsid w:val="005F7A89"/>
    <w:rsid w:val="005F7AC4"/>
    <w:rsid w:val="005F7FF3"/>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575"/>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21E"/>
    <w:rsid w:val="00666CB6"/>
    <w:rsid w:val="00671EA4"/>
    <w:rsid w:val="006725E0"/>
    <w:rsid w:val="006736BC"/>
    <w:rsid w:val="00673908"/>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4D4"/>
    <w:rsid w:val="006B07E5"/>
    <w:rsid w:val="006B0C0B"/>
    <w:rsid w:val="006B2C46"/>
    <w:rsid w:val="006B4FC8"/>
    <w:rsid w:val="006B6168"/>
    <w:rsid w:val="006B61C2"/>
    <w:rsid w:val="006B64C9"/>
    <w:rsid w:val="006B7780"/>
    <w:rsid w:val="006B7A3B"/>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578"/>
    <w:rsid w:val="006D4C70"/>
    <w:rsid w:val="006D5605"/>
    <w:rsid w:val="006E114C"/>
    <w:rsid w:val="006E18FD"/>
    <w:rsid w:val="006E23C1"/>
    <w:rsid w:val="006E43A6"/>
    <w:rsid w:val="006E5C5F"/>
    <w:rsid w:val="006E5EE5"/>
    <w:rsid w:val="006E6B58"/>
    <w:rsid w:val="006E7195"/>
    <w:rsid w:val="006E7DC6"/>
    <w:rsid w:val="006F0E83"/>
    <w:rsid w:val="006F13BA"/>
    <w:rsid w:val="006F2820"/>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541"/>
    <w:rsid w:val="007066F4"/>
    <w:rsid w:val="00707D5E"/>
    <w:rsid w:val="00707F76"/>
    <w:rsid w:val="00711F61"/>
    <w:rsid w:val="007130D4"/>
    <w:rsid w:val="00714103"/>
    <w:rsid w:val="00714E43"/>
    <w:rsid w:val="00717C33"/>
    <w:rsid w:val="007201B1"/>
    <w:rsid w:val="007225D8"/>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00F"/>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626"/>
    <w:rsid w:val="00785956"/>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C2F"/>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40B"/>
    <w:rsid w:val="007D33C4"/>
    <w:rsid w:val="007D3472"/>
    <w:rsid w:val="007D366D"/>
    <w:rsid w:val="007D4EBE"/>
    <w:rsid w:val="007D539D"/>
    <w:rsid w:val="007D5868"/>
    <w:rsid w:val="007D5895"/>
    <w:rsid w:val="007D61F4"/>
    <w:rsid w:val="007D6CAB"/>
    <w:rsid w:val="007E038D"/>
    <w:rsid w:val="007E0819"/>
    <w:rsid w:val="007E08A2"/>
    <w:rsid w:val="007E2561"/>
    <w:rsid w:val="007E260C"/>
    <w:rsid w:val="007E270F"/>
    <w:rsid w:val="007E364A"/>
    <w:rsid w:val="007E37DE"/>
    <w:rsid w:val="007E3C99"/>
    <w:rsid w:val="007E41AF"/>
    <w:rsid w:val="007E525A"/>
    <w:rsid w:val="007E527E"/>
    <w:rsid w:val="007E531B"/>
    <w:rsid w:val="007E5B48"/>
    <w:rsid w:val="007E6FBE"/>
    <w:rsid w:val="007E7A25"/>
    <w:rsid w:val="007F0C64"/>
    <w:rsid w:val="007F1507"/>
    <w:rsid w:val="007F26CD"/>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7AC"/>
    <w:rsid w:val="00811FC6"/>
    <w:rsid w:val="0081210B"/>
    <w:rsid w:val="0081265C"/>
    <w:rsid w:val="00812FEF"/>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0FAB"/>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AA4"/>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AA9"/>
    <w:rsid w:val="008E4B2E"/>
    <w:rsid w:val="008E540F"/>
    <w:rsid w:val="008E55CB"/>
    <w:rsid w:val="008E59EB"/>
    <w:rsid w:val="008E6AE1"/>
    <w:rsid w:val="008E760C"/>
    <w:rsid w:val="008F07DA"/>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0773A"/>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AF7"/>
    <w:rsid w:val="00937D9B"/>
    <w:rsid w:val="00940E65"/>
    <w:rsid w:val="0094115B"/>
    <w:rsid w:val="009462FE"/>
    <w:rsid w:val="00946B7A"/>
    <w:rsid w:val="009471BC"/>
    <w:rsid w:val="00947D8F"/>
    <w:rsid w:val="00950AB0"/>
    <w:rsid w:val="00950B68"/>
    <w:rsid w:val="00951BBE"/>
    <w:rsid w:val="0095260A"/>
    <w:rsid w:val="0095285B"/>
    <w:rsid w:val="00952AB2"/>
    <w:rsid w:val="00952FEB"/>
    <w:rsid w:val="00953E75"/>
    <w:rsid w:val="009556EA"/>
    <w:rsid w:val="00955BFF"/>
    <w:rsid w:val="00956390"/>
    <w:rsid w:val="0095736B"/>
    <w:rsid w:val="00960F14"/>
    <w:rsid w:val="009612D3"/>
    <w:rsid w:val="00962064"/>
    <w:rsid w:val="00962F14"/>
    <w:rsid w:val="00963A39"/>
    <w:rsid w:val="00963DC5"/>
    <w:rsid w:val="009645D2"/>
    <w:rsid w:val="009649F8"/>
    <w:rsid w:val="00966139"/>
    <w:rsid w:val="00966160"/>
    <w:rsid w:val="00966C8D"/>
    <w:rsid w:val="0097030B"/>
    <w:rsid w:val="00970C82"/>
    <w:rsid w:val="00971C0E"/>
    <w:rsid w:val="00972AEF"/>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3DA0"/>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235"/>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02"/>
    <w:rsid w:val="00A445CD"/>
    <w:rsid w:val="00A45776"/>
    <w:rsid w:val="00A46507"/>
    <w:rsid w:val="00A46BEA"/>
    <w:rsid w:val="00A47C6E"/>
    <w:rsid w:val="00A501D9"/>
    <w:rsid w:val="00A503F1"/>
    <w:rsid w:val="00A50CB8"/>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1D6"/>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E7F0D"/>
    <w:rsid w:val="00AF08A8"/>
    <w:rsid w:val="00AF2019"/>
    <w:rsid w:val="00AF26B7"/>
    <w:rsid w:val="00AF30FD"/>
    <w:rsid w:val="00AF3FC6"/>
    <w:rsid w:val="00AF4B5F"/>
    <w:rsid w:val="00AF54B5"/>
    <w:rsid w:val="00AF5B6E"/>
    <w:rsid w:val="00AF79AE"/>
    <w:rsid w:val="00B006E5"/>
    <w:rsid w:val="00B00B92"/>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759"/>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5EE4"/>
    <w:rsid w:val="00B460A9"/>
    <w:rsid w:val="00B463C1"/>
    <w:rsid w:val="00B4642E"/>
    <w:rsid w:val="00B4729B"/>
    <w:rsid w:val="00B50D6B"/>
    <w:rsid w:val="00B5110E"/>
    <w:rsid w:val="00B51EC0"/>
    <w:rsid w:val="00B534D5"/>
    <w:rsid w:val="00B536E6"/>
    <w:rsid w:val="00B54876"/>
    <w:rsid w:val="00B56945"/>
    <w:rsid w:val="00B610C2"/>
    <w:rsid w:val="00B61B6F"/>
    <w:rsid w:val="00B61D29"/>
    <w:rsid w:val="00B62C27"/>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D68"/>
    <w:rsid w:val="00BB44CD"/>
    <w:rsid w:val="00BB58AA"/>
    <w:rsid w:val="00BB667C"/>
    <w:rsid w:val="00BB7964"/>
    <w:rsid w:val="00BC02D5"/>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6E7"/>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254"/>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BE3"/>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49D"/>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DED"/>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C3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97E10"/>
    <w:rsid w:val="00DA0910"/>
    <w:rsid w:val="00DA1743"/>
    <w:rsid w:val="00DA1E8C"/>
    <w:rsid w:val="00DA2273"/>
    <w:rsid w:val="00DA3B49"/>
    <w:rsid w:val="00DA416F"/>
    <w:rsid w:val="00DA420C"/>
    <w:rsid w:val="00DA63F5"/>
    <w:rsid w:val="00DA6F09"/>
    <w:rsid w:val="00DA7A9F"/>
    <w:rsid w:val="00DA7B3B"/>
    <w:rsid w:val="00DB02EB"/>
    <w:rsid w:val="00DB1960"/>
    <w:rsid w:val="00DB1E72"/>
    <w:rsid w:val="00DB2C4B"/>
    <w:rsid w:val="00DB2CAA"/>
    <w:rsid w:val="00DB4C6F"/>
    <w:rsid w:val="00DB61E7"/>
    <w:rsid w:val="00DB6C3C"/>
    <w:rsid w:val="00DC18A5"/>
    <w:rsid w:val="00DC1D8C"/>
    <w:rsid w:val="00DC231D"/>
    <w:rsid w:val="00DC31BF"/>
    <w:rsid w:val="00DC33EF"/>
    <w:rsid w:val="00DC3C2A"/>
    <w:rsid w:val="00DC4911"/>
    <w:rsid w:val="00DC7CFF"/>
    <w:rsid w:val="00DC7EFD"/>
    <w:rsid w:val="00DD090B"/>
    <w:rsid w:val="00DD0CC8"/>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2863"/>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996"/>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331"/>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926"/>
    <w:rsid w:val="00EF5AF0"/>
    <w:rsid w:val="00EF62FD"/>
    <w:rsid w:val="00F0181A"/>
    <w:rsid w:val="00F01EE6"/>
    <w:rsid w:val="00F01F98"/>
    <w:rsid w:val="00F02219"/>
    <w:rsid w:val="00F03665"/>
    <w:rsid w:val="00F03D4C"/>
    <w:rsid w:val="00F044B9"/>
    <w:rsid w:val="00F04743"/>
    <w:rsid w:val="00F06A70"/>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56B"/>
    <w:rsid w:val="00F60B38"/>
    <w:rsid w:val="00F6108E"/>
    <w:rsid w:val="00F61CB7"/>
    <w:rsid w:val="00F6292A"/>
    <w:rsid w:val="00F62C69"/>
    <w:rsid w:val="00F63214"/>
    <w:rsid w:val="00F632FB"/>
    <w:rsid w:val="00F63EEB"/>
    <w:rsid w:val="00F64C00"/>
    <w:rsid w:val="00F64DA9"/>
    <w:rsid w:val="00F65C81"/>
    <w:rsid w:val="00F704D9"/>
    <w:rsid w:val="00F70A0D"/>
    <w:rsid w:val="00F71FD6"/>
    <w:rsid w:val="00F74037"/>
    <w:rsid w:val="00F7455B"/>
    <w:rsid w:val="00F746AC"/>
    <w:rsid w:val="00F74B9D"/>
    <w:rsid w:val="00F75058"/>
    <w:rsid w:val="00F75726"/>
    <w:rsid w:val="00F7660F"/>
    <w:rsid w:val="00F768AD"/>
    <w:rsid w:val="00F76B75"/>
    <w:rsid w:val="00F774EE"/>
    <w:rsid w:val="00F77B05"/>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75F"/>
    <w:rsid w:val="00FA0CF8"/>
    <w:rsid w:val="00FA119A"/>
    <w:rsid w:val="00FA1F2A"/>
    <w:rsid w:val="00FA2D54"/>
    <w:rsid w:val="00FA38D8"/>
    <w:rsid w:val="00FA4B8D"/>
    <w:rsid w:val="00FA6DED"/>
    <w:rsid w:val="00FA76DF"/>
    <w:rsid w:val="00FA78EA"/>
    <w:rsid w:val="00FB5A70"/>
    <w:rsid w:val="00FC0689"/>
    <w:rsid w:val="00FC0F95"/>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6A74D4"/>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374254">
      <w:bodyDiv w:val="1"/>
      <w:marLeft w:val="0"/>
      <w:marRight w:val="0"/>
      <w:marTop w:val="0"/>
      <w:marBottom w:val="0"/>
      <w:divBdr>
        <w:top w:val="none" w:sz="0" w:space="0" w:color="auto"/>
        <w:left w:val="none" w:sz="0" w:space="0" w:color="auto"/>
        <w:bottom w:val="none" w:sz="0" w:space="0" w:color="auto"/>
        <w:right w:val="none" w:sz="0" w:space="0" w:color="auto"/>
      </w:divBdr>
    </w:div>
    <w:div w:id="244384651">
      <w:bodyDiv w:val="1"/>
      <w:marLeft w:val="0"/>
      <w:marRight w:val="0"/>
      <w:marTop w:val="0"/>
      <w:marBottom w:val="0"/>
      <w:divBdr>
        <w:top w:val="none" w:sz="0" w:space="0" w:color="auto"/>
        <w:left w:val="none" w:sz="0" w:space="0" w:color="auto"/>
        <w:bottom w:val="none" w:sz="0" w:space="0" w:color="auto"/>
        <w:right w:val="none" w:sz="0" w:space="0" w:color="auto"/>
      </w:divBdr>
    </w:div>
    <w:div w:id="50960926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746504">
      <w:bodyDiv w:val="1"/>
      <w:marLeft w:val="0"/>
      <w:marRight w:val="0"/>
      <w:marTop w:val="0"/>
      <w:marBottom w:val="0"/>
      <w:divBdr>
        <w:top w:val="none" w:sz="0" w:space="0" w:color="auto"/>
        <w:left w:val="none" w:sz="0" w:space="0" w:color="auto"/>
        <w:bottom w:val="none" w:sz="0" w:space="0" w:color="auto"/>
        <w:right w:val="none" w:sz="0" w:space="0" w:color="auto"/>
      </w:divBdr>
    </w:div>
    <w:div w:id="94812549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0065197">
      <w:bodyDiv w:val="1"/>
      <w:marLeft w:val="0"/>
      <w:marRight w:val="0"/>
      <w:marTop w:val="0"/>
      <w:marBottom w:val="0"/>
      <w:divBdr>
        <w:top w:val="none" w:sz="0" w:space="0" w:color="auto"/>
        <w:left w:val="none" w:sz="0" w:space="0" w:color="auto"/>
        <w:bottom w:val="none" w:sz="0" w:space="0" w:color="auto"/>
        <w:right w:val="none" w:sz="0" w:space="0" w:color="auto"/>
      </w:divBdr>
    </w:div>
    <w:div w:id="173685113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4873163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govinfo.gov/content/pkg/USCODE-2013-title42/html/USCODE-2013-title42-chap85-subchapI-partA-sec7413.htm" TargetMode="External"/><Relationship Id="rId3" Type="http://schemas.openxmlformats.org/officeDocument/2006/relationships/customXml" Target="../customXml/item3.xml"/><Relationship Id="rId21" Type="http://schemas.openxmlformats.org/officeDocument/2006/relationships/hyperlink" Target="https://web.archive.org/web/20250416205750/https:/www.epa.gov/system/files/documents/2024-02/og-presentation-for-feb-27-training_small-bus_industry.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30215548/https:/www.govinfo.gov/content/pkg/FR-2024-03-08/pdf/2024-00366.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30204219/https:/www.epa.gov/newsreleases/trump-epa-announces-oooo-bc-reconsideration-biden-harris-rules-strangling-american"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28" Type="http://schemas.openxmlformats.org/officeDocument/2006/relationships/hyperlink" Target="https://web.archive.org/web/20250701172104/https://www.federalregister.gov/documents/2024/03/08/2024-00366/standards-of-performance-for-new-reconstructed-and-modified-sources-and-emissions-guidelines-for#p-633" TargetMode="External"/><Relationship Id="rId10" Type="http://schemas.openxmlformats.org/officeDocument/2006/relationships/endnotes" Target="endnotes.xml"/><Relationship Id="rId19" Type="http://schemas.openxmlformats.org/officeDocument/2006/relationships/hyperlink" Target="https://web.archive.org/web/20250701154315/https://www.federalregister.gov/documents/2024/03/08/2024-00366/standards-of-performance-for-new-reconstructed-and-modified-sources-and-emissions-guidelines-for"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30201241/https:/www.epa.gov/emc/oil-and-gas-alternative-test-methods" TargetMode="External"/><Relationship Id="rId27" Type="http://schemas.openxmlformats.org/officeDocument/2006/relationships/hyperlink" Target="https://www.epa.gov/sites/default/files/2013-10/documents/gdc-fact.pdf" TargetMode="Externa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115</Pages>
  <Words>24769</Words>
  <Characters>137474</Characters>
  <Application>Microsoft Office Word</Application>
  <DocSecurity>0</DocSecurity>
  <Lines>8592</Lines>
  <Paragraphs>3773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7</cp:revision>
  <cp:lastPrinted>2025-03-21T00:14:00Z</cp:lastPrinted>
  <dcterms:created xsi:type="dcterms:W3CDTF">2025-07-01T17:47:00Z</dcterms:created>
  <dcterms:modified xsi:type="dcterms:W3CDTF">2025-07-01T19:18:00Z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530066524v.1</vt:lpwstr>
  </property>
  <property fmtid="{D5CDD505-2E9C-101B-9397-08002B2CF9AE}" pid="5" name="DocXFormat">
    <vt:lpwstr>DocID</vt:lpwstr>
  </property>
  <property fmtid="{D5CDD505-2E9C-101B-9397-08002B2CF9AE}" pid="6" name="DocXLocation">
    <vt:lpwstr>EndOfDocument</vt:lpwstr>
  </property>
</Properties>
</file>